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B2" w:rsidRDefault="00E12FB2" w:rsidP="00E12FB2">
      <w:pPr>
        <w:rPr>
          <w:color w:val="1F497D"/>
          <w:sz w:val="22"/>
          <w:szCs w:val="22"/>
          <w:lang w:val="en-US"/>
        </w:rPr>
      </w:pPr>
    </w:p>
    <w:p w:rsidR="00780793" w:rsidRDefault="00780793" w:rsidP="00780793">
      <w:pPr>
        <w:ind w:left="6096"/>
        <w:jc w:val="both"/>
        <w:rPr>
          <w:sz w:val="30"/>
          <w:szCs w:val="30"/>
        </w:rPr>
      </w:pPr>
    </w:p>
    <w:p w:rsidR="00780793" w:rsidRDefault="00780793" w:rsidP="007807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УСЛОВИЯ ПРЕДОСТАВЛЕНИЯ ФИНАНСИРОВАНИЯ</w:t>
      </w:r>
    </w:p>
    <w:p w:rsidR="00780793" w:rsidRDefault="00780793" w:rsidP="007807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субъектам малого и среднего предпринимательства</w:t>
      </w:r>
      <w:r>
        <w:rPr>
          <w:sz w:val="30"/>
          <w:szCs w:val="30"/>
        </w:rPr>
        <w:t xml:space="preserve"> </w:t>
      </w:r>
      <w:r>
        <w:rPr>
          <w:b/>
          <w:sz w:val="26"/>
          <w:szCs w:val="26"/>
        </w:rPr>
        <w:t>«</w:t>
      </w:r>
      <w:r>
        <w:rPr>
          <w:b/>
          <w:sz w:val="30"/>
          <w:szCs w:val="30"/>
        </w:rPr>
        <w:t>Поддержка юго-восточных регионов</w:t>
      </w:r>
      <w:r>
        <w:rPr>
          <w:b/>
          <w:sz w:val="26"/>
          <w:szCs w:val="26"/>
        </w:rPr>
        <w:t>»</w:t>
      </w:r>
    </w:p>
    <w:p w:rsidR="006A0024" w:rsidRDefault="006A0024" w:rsidP="00780793">
      <w:pPr>
        <w:jc w:val="center"/>
        <w:rPr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9"/>
        <w:gridCol w:w="2166"/>
        <w:gridCol w:w="40"/>
        <w:gridCol w:w="2218"/>
        <w:gridCol w:w="11"/>
        <w:gridCol w:w="1766"/>
        <w:gridCol w:w="341"/>
        <w:gridCol w:w="2761"/>
      </w:tblGrid>
      <w:tr w:rsidR="00260553" w:rsidTr="00260553">
        <w:trPr>
          <w:jc w:val="center"/>
        </w:trPr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53" w:rsidRDefault="0026055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Условия</w:t>
            </w:r>
          </w:p>
        </w:tc>
        <w:tc>
          <w:tcPr>
            <w:tcW w:w="9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53" w:rsidRDefault="00260553" w:rsidP="0026055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Субъект МСП</w:t>
            </w:r>
          </w:p>
        </w:tc>
      </w:tr>
      <w:tr w:rsidR="00260553" w:rsidTr="0026055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53" w:rsidRDefault="0026055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53" w:rsidRDefault="0026055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индивидуальные предприниматели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53" w:rsidRDefault="0026055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микроорганизации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53" w:rsidRDefault="0026055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малые организации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53" w:rsidRDefault="0026055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субъекты среднего предпринимательства</w:t>
            </w:r>
          </w:p>
        </w:tc>
      </w:tr>
      <w:tr w:rsidR="00260553" w:rsidTr="00260553">
        <w:trPr>
          <w:jc w:val="center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53" w:rsidRDefault="0026055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Целевое использование средств</w:t>
            </w:r>
          </w:p>
        </w:tc>
        <w:tc>
          <w:tcPr>
            <w:tcW w:w="9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53" w:rsidRDefault="0026055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Финансирование затрат субъектов МСП на приобретение (реконструкцию, модернизацию, строительство, капитальный ремонт) основных средств </w:t>
            </w:r>
            <w:r>
              <w:rPr>
                <w:lang w:eastAsia="en-US"/>
              </w:rPr>
              <w:t>и/или финансирование затрат субъектов МСП на приобретение нематериальных активов (франшизы)</w:t>
            </w:r>
            <w:r>
              <w:rPr>
                <w:rFonts w:eastAsia="Calibri"/>
                <w:lang w:eastAsia="en-US"/>
              </w:rPr>
              <w:t xml:space="preserve"> для их производственной, торговой деятельности или деятельности по оказанию услуг</w:t>
            </w:r>
          </w:p>
        </w:tc>
      </w:tr>
      <w:tr w:rsidR="00260553" w:rsidTr="00260553">
        <w:trPr>
          <w:jc w:val="center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53" w:rsidRDefault="0026055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Целевой сегмент субъектов МСП</w:t>
            </w:r>
          </w:p>
        </w:tc>
        <w:tc>
          <w:tcPr>
            <w:tcW w:w="9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53" w:rsidRDefault="00260553" w:rsidP="0026055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Субъекты МСП: основной вид экономической деятельности относится к секциям А – B,  секции С (за исключением классов 1101-1106; раздела 12),  секциям D – F, подклассам 45112, 45192, 45320, 45402, 45403, группе 452, разделу 47 (за исключением подклассов 47251, 47260) секции </w:t>
            </w:r>
            <w:r>
              <w:rPr>
                <w:rFonts w:eastAsia="Calibri"/>
                <w:lang w:val="en-US" w:eastAsia="en-US"/>
              </w:rPr>
              <w:t>G</w:t>
            </w:r>
            <w:r>
              <w:rPr>
                <w:rFonts w:eastAsia="Calibri"/>
                <w:lang w:eastAsia="en-US"/>
              </w:rPr>
              <w:t xml:space="preserve">, секциям </w:t>
            </w:r>
            <w:r>
              <w:rPr>
                <w:rFonts w:eastAsia="Calibri"/>
                <w:lang w:val="en-US" w:eastAsia="en-US"/>
              </w:rPr>
              <w:t>H</w:t>
            </w:r>
            <w:r>
              <w:rPr>
                <w:rFonts w:eastAsia="Calibri"/>
                <w:lang w:eastAsia="en-US"/>
              </w:rPr>
              <w:t xml:space="preserve"> – J, секции М (за исключением </w:t>
            </w:r>
            <w:r>
              <w:rPr>
                <w:lang w:eastAsia="en-US"/>
              </w:rPr>
              <w:t xml:space="preserve">подклассов 69101, 69102, </w:t>
            </w:r>
            <w:r>
              <w:rPr>
                <w:rFonts w:eastAsia="Calibri"/>
                <w:lang w:eastAsia="en-US"/>
              </w:rPr>
              <w:t xml:space="preserve">70100), разделам 78-82 секции N, секциям P – Q, секции R (за исключением раздела 92),  разделам 95-96 секции S, согласно </w:t>
            </w:r>
            <w:r>
              <w:rPr>
                <w:lang w:eastAsia="en-US"/>
              </w:rPr>
              <w:t>ОКЭД</w:t>
            </w:r>
            <w:r>
              <w:rPr>
                <w:rFonts w:eastAsia="Calibri"/>
                <w:lang w:eastAsia="en-US"/>
              </w:rPr>
              <w:t xml:space="preserve">  и/или вид экономической деятельности для реализации Субпроекта относится к секциям А – B,  секции С (за исключением классов 1101-1106; раздела 12),  секциям D – F, подклассам 45112, 45192, 45320, 45402, 45403, группе 452, разделу 47 (за исключением подклассов 47251, 47260) секции </w:t>
            </w:r>
            <w:r>
              <w:rPr>
                <w:rFonts w:eastAsia="Calibri"/>
                <w:lang w:val="en-US" w:eastAsia="en-US"/>
              </w:rPr>
              <w:t>G</w:t>
            </w:r>
            <w:r>
              <w:rPr>
                <w:rFonts w:eastAsia="Calibri"/>
                <w:lang w:eastAsia="en-US"/>
              </w:rPr>
              <w:t xml:space="preserve">, секциям </w:t>
            </w:r>
            <w:r>
              <w:rPr>
                <w:rFonts w:eastAsia="Calibri"/>
                <w:lang w:val="en-US" w:eastAsia="en-US"/>
              </w:rPr>
              <w:t>H</w:t>
            </w:r>
            <w:r>
              <w:rPr>
                <w:rFonts w:eastAsia="Calibri"/>
                <w:lang w:eastAsia="en-US"/>
              </w:rPr>
              <w:t xml:space="preserve"> – J, секции М (за исключением </w:t>
            </w:r>
            <w:r>
              <w:rPr>
                <w:lang w:eastAsia="en-US"/>
              </w:rPr>
              <w:t xml:space="preserve">подклассов 69101, 69102, </w:t>
            </w:r>
            <w:r>
              <w:rPr>
                <w:rFonts w:eastAsia="Calibri"/>
                <w:lang w:eastAsia="en-US"/>
              </w:rPr>
              <w:t>70100), разделам 78-82 секции N, секциям P – Q, секции R (за исключением раздела 92),  разделам 95-96 секции S, согласно ОКЭД.</w:t>
            </w:r>
          </w:p>
        </w:tc>
      </w:tr>
      <w:tr w:rsidR="00260553" w:rsidTr="00260553">
        <w:trPr>
          <w:jc w:val="center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53" w:rsidRDefault="00260553">
            <w:pPr>
              <w:spacing w:line="27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Размер ставки, % годовых</w:t>
            </w:r>
          </w:p>
        </w:tc>
        <w:tc>
          <w:tcPr>
            <w:tcW w:w="9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53" w:rsidRDefault="002605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Определяется кредитным договором.</w:t>
            </w:r>
          </w:p>
          <w:p w:rsidR="00260553" w:rsidRPr="003E23EE" w:rsidRDefault="00337331">
            <w:pPr>
              <w:tabs>
                <w:tab w:val="left" w:pos="113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  <w:r w:rsidR="003E23EE">
              <w:rPr>
                <w:lang w:eastAsia="en-US"/>
              </w:rPr>
              <w:t xml:space="preserve"> ставки рефинансирования</w:t>
            </w:r>
            <w:r w:rsidR="006D689B">
              <w:rPr>
                <w:lang w:eastAsia="en-US"/>
              </w:rPr>
              <w:t xml:space="preserve"> НБРБ</w:t>
            </w:r>
            <w:r w:rsidR="004853B7">
              <w:rPr>
                <w:lang w:eastAsia="en-US"/>
              </w:rPr>
              <w:t xml:space="preserve"> + 3,5%</w:t>
            </w:r>
            <w:bookmarkStart w:id="0" w:name="_GoBack"/>
            <w:bookmarkEnd w:id="0"/>
          </w:p>
        </w:tc>
      </w:tr>
      <w:tr w:rsidR="00260553" w:rsidTr="00260553">
        <w:trPr>
          <w:jc w:val="center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53" w:rsidRDefault="00260553">
            <w:pPr>
              <w:spacing w:line="276" w:lineRule="auto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Срок финансирования</w:t>
            </w:r>
          </w:p>
          <w:p w:rsidR="00260553" w:rsidRDefault="00260553">
            <w:pPr>
              <w:spacing w:line="276" w:lineRule="auto"/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9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53" w:rsidRDefault="0059199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5 лет</w:t>
            </w:r>
          </w:p>
        </w:tc>
      </w:tr>
      <w:tr w:rsidR="00780793" w:rsidTr="00260553">
        <w:trPr>
          <w:trHeight w:val="589"/>
          <w:jc w:val="center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93" w:rsidRDefault="007807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Валюта финансирования</w:t>
            </w:r>
          </w:p>
        </w:tc>
        <w:tc>
          <w:tcPr>
            <w:tcW w:w="9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93" w:rsidRDefault="0078079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Белорусские рубли</w:t>
            </w:r>
          </w:p>
        </w:tc>
      </w:tr>
      <w:tr w:rsidR="00260553" w:rsidTr="00260553">
        <w:trPr>
          <w:jc w:val="center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53" w:rsidRDefault="00260553">
            <w:pPr>
              <w:spacing w:line="276" w:lineRule="auto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Сумма финансирования Субъекта МСП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53" w:rsidRDefault="0026055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более 300 тыс. белорусских рублей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53" w:rsidRDefault="0026055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Не более 500 тыс. белорусских рублей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53" w:rsidRDefault="0026055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Не более 2,5 млн. белорусских рублей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53" w:rsidRDefault="0026055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Не более 5,0 млн. белорусских рублей</w:t>
            </w:r>
          </w:p>
        </w:tc>
      </w:tr>
      <w:tr w:rsidR="00260553" w:rsidTr="00260553">
        <w:trPr>
          <w:jc w:val="center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53" w:rsidRDefault="00260553" w:rsidP="00E12FB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 участия собственными средствами в финансировании кредитуемого проекта</w:t>
            </w:r>
          </w:p>
        </w:tc>
        <w:tc>
          <w:tcPr>
            <w:tcW w:w="9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53" w:rsidRDefault="0026055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менее 10%</w:t>
            </w:r>
          </w:p>
          <w:p w:rsidR="00260553" w:rsidRDefault="0026055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60553" w:rsidTr="00260553">
        <w:trPr>
          <w:jc w:val="center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53" w:rsidRDefault="002605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Отсрочка погашения обязательств/порядок возврата вклада (депозита)  </w:t>
            </w:r>
          </w:p>
        </w:tc>
        <w:tc>
          <w:tcPr>
            <w:tcW w:w="9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53" w:rsidRDefault="00260553" w:rsidP="0059199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Допускается отсрочка погашения обязательств по уплате основного долга сроком до 24 месяцев включительно с момента ок</w:t>
            </w:r>
            <w:r w:rsidR="00591999">
              <w:rPr>
                <w:rFonts w:eastAsia="Calibri"/>
                <w:lang w:eastAsia="en-US"/>
              </w:rPr>
              <w:t xml:space="preserve">ончания периода выборки кредита </w:t>
            </w:r>
            <w:r>
              <w:rPr>
                <w:rFonts w:eastAsia="Calibri"/>
                <w:lang w:eastAsia="en-US"/>
              </w:rPr>
              <w:t xml:space="preserve">заемщиком в зависимости от цели финансирования. </w:t>
            </w:r>
          </w:p>
        </w:tc>
      </w:tr>
      <w:tr w:rsidR="00780793" w:rsidTr="00260553">
        <w:trPr>
          <w:jc w:val="center"/>
        </w:trPr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93" w:rsidRDefault="0078079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Дополнительное условие</w:t>
            </w:r>
          </w:p>
        </w:tc>
        <w:tc>
          <w:tcPr>
            <w:tcW w:w="9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93" w:rsidRDefault="0078079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документов, предоставляемых Субъектом МСП для рассмотрения вопроса о целесообразности выдачи кредита (</w:t>
            </w:r>
            <w:r>
              <w:rPr>
                <w:lang w:eastAsia="en-US"/>
              </w:rPr>
              <w:t>проведения операции финансовой аренды (лизинга)</w:t>
            </w:r>
            <w:r>
              <w:rPr>
                <w:rFonts w:eastAsia="Calibri"/>
                <w:lang w:eastAsia="en-US"/>
              </w:rPr>
              <w:t>), в обязательном порядке должен включать обоснова</w:t>
            </w:r>
            <w:r w:rsidR="00591999">
              <w:rPr>
                <w:rFonts w:eastAsia="Calibri"/>
                <w:lang w:eastAsia="en-US"/>
              </w:rPr>
              <w:t xml:space="preserve">ние финансовой реализуемости </w:t>
            </w:r>
            <w:r>
              <w:rPr>
                <w:rFonts w:eastAsia="Calibri"/>
                <w:lang w:eastAsia="en-US"/>
              </w:rPr>
              <w:t>проекта, содержащее информацию об оценке ожидаемых объемов реализации продукции и услуг, которые предполагается производить или оказыва</w:t>
            </w:r>
            <w:r w:rsidR="00591999">
              <w:rPr>
                <w:rFonts w:eastAsia="Calibri"/>
                <w:lang w:eastAsia="en-US"/>
              </w:rPr>
              <w:t xml:space="preserve">ть по результатам реализации </w:t>
            </w:r>
            <w:r>
              <w:rPr>
                <w:rFonts w:eastAsia="Calibri"/>
                <w:lang w:eastAsia="en-US"/>
              </w:rPr>
              <w:t>проекта, потенциальных потребителях, оценке ожид</w:t>
            </w:r>
            <w:r w:rsidR="00591999">
              <w:rPr>
                <w:rFonts w:eastAsia="Calibri"/>
                <w:lang w:eastAsia="en-US"/>
              </w:rPr>
              <w:t xml:space="preserve">аемых финансовых результатов </w:t>
            </w:r>
            <w:r>
              <w:rPr>
                <w:rFonts w:eastAsia="Calibri"/>
                <w:lang w:eastAsia="en-US"/>
              </w:rPr>
              <w:t>проекта.</w:t>
            </w:r>
          </w:p>
          <w:p w:rsidR="00780793" w:rsidRDefault="0078079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Поставщик предметов лизинга, приобретаемых на условиях настоящего продукта, не может являться одновременно Лизингополучателем.</w:t>
            </w:r>
          </w:p>
        </w:tc>
      </w:tr>
      <w:tr w:rsidR="00780793" w:rsidTr="0026055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793" w:rsidRDefault="0078079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93" w:rsidRDefault="00780793" w:rsidP="00591999">
            <w:pPr>
              <w:tabs>
                <w:tab w:val="left" w:pos="284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Кредитные ресурсы предоставляются субъектам МСП, осуществляющим деятельность в производственной, торговой сфере и сфере услуг, зарегистрированным и осуществляющим деятельность на территории юго-восточ</w:t>
            </w:r>
            <w:r w:rsidR="00591999">
              <w:rPr>
                <w:rFonts w:eastAsia="Calibri"/>
                <w:lang w:eastAsia="en-US"/>
              </w:rPr>
              <w:t>ного региона Могилевской области</w:t>
            </w:r>
            <w:r>
              <w:rPr>
                <w:rFonts w:eastAsia="Calibri"/>
                <w:lang w:eastAsia="en-US"/>
              </w:rPr>
              <w:t xml:space="preserve">. </w:t>
            </w:r>
          </w:p>
        </w:tc>
      </w:tr>
      <w:tr w:rsidR="00780793" w:rsidTr="0026055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793" w:rsidRDefault="0078079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93" w:rsidRDefault="0078079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рамках настоящего продукта </w:t>
            </w:r>
            <w:r w:rsidR="00591999">
              <w:rPr>
                <w:rFonts w:eastAsia="Calibri"/>
                <w:lang w:eastAsia="en-US"/>
              </w:rPr>
              <w:t>не финансируются проекты</w:t>
            </w:r>
            <w:r>
              <w:rPr>
                <w:rFonts w:eastAsia="Calibri"/>
                <w:lang w:eastAsia="en-US"/>
              </w:rPr>
              <w:t xml:space="preserve"> следующих видов деятельности: </w:t>
            </w:r>
          </w:p>
          <w:p w:rsidR="00780793" w:rsidRDefault="00780793">
            <w:pPr>
              <w:spacing w:line="276" w:lineRule="auto"/>
              <w:ind w:firstLine="1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– не относящихся к целевому сегменту МСП; </w:t>
            </w:r>
          </w:p>
          <w:p w:rsidR="00780793" w:rsidRDefault="00780793">
            <w:pPr>
              <w:spacing w:line="276" w:lineRule="auto"/>
              <w:ind w:firstLine="1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 производство оружия и (или) военного снаряжения;</w:t>
            </w:r>
          </w:p>
          <w:p w:rsidR="00780793" w:rsidRDefault="00780793">
            <w:pPr>
              <w:spacing w:line="276" w:lineRule="auto"/>
              <w:ind w:firstLine="1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 производство и экспорт табачных изделий;</w:t>
            </w:r>
          </w:p>
          <w:p w:rsidR="00780793" w:rsidRDefault="00780793">
            <w:pPr>
              <w:spacing w:line="276" w:lineRule="auto"/>
              <w:ind w:firstLine="1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 производство алкогольных напитков;</w:t>
            </w:r>
          </w:p>
          <w:p w:rsidR="00780793" w:rsidRDefault="00780793">
            <w:pPr>
              <w:spacing w:line="276" w:lineRule="auto"/>
              <w:ind w:firstLine="1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 сфера игорного бизнеса, лотерейной деятельности, электронных интерактивных игр.</w:t>
            </w:r>
          </w:p>
        </w:tc>
      </w:tr>
    </w:tbl>
    <w:p w:rsidR="00780793" w:rsidRDefault="00780793" w:rsidP="00DC4558">
      <w:pPr>
        <w:widowControl w:val="0"/>
        <w:tabs>
          <w:tab w:val="left" w:pos="195"/>
          <w:tab w:val="center" w:pos="4677"/>
        </w:tabs>
        <w:autoSpaceDE w:val="0"/>
        <w:autoSpaceDN w:val="0"/>
        <w:adjustRightInd w:val="0"/>
        <w:rPr>
          <w:sz w:val="26"/>
          <w:szCs w:val="26"/>
        </w:rPr>
      </w:pPr>
    </w:p>
    <w:p w:rsidR="00260553" w:rsidRDefault="00260553" w:rsidP="00DC4558">
      <w:pPr>
        <w:widowControl w:val="0"/>
        <w:tabs>
          <w:tab w:val="left" w:pos="195"/>
          <w:tab w:val="center" w:pos="4677"/>
        </w:tabs>
        <w:autoSpaceDE w:val="0"/>
        <w:autoSpaceDN w:val="0"/>
        <w:adjustRightInd w:val="0"/>
        <w:rPr>
          <w:sz w:val="26"/>
          <w:szCs w:val="26"/>
        </w:rPr>
      </w:pPr>
    </w:p>
    <w:p w:rsidR="00260553" w:rsidRDefault="00260553" w:rsidP="00DC4558">
      <w:pPr>
        <w:widowControl w:val="0"/>
        <w:tabs>
          <w:tab w:val="left" w:pos="195"/>
          <w:tab w:val="center" w:pos="4677"/>
        </w:tabs>
        <w:autoSpaceDE w:val="0"/>
        <w:autoSpaceDN w:val="0"/>
        <w:adjustRightInd w:val="0"/>
        <w:rPr>
          <w:sz w:val="26"/>
          <w:szCs w:val="26"/>
        </w:rPr>
      </w:pPr>
    </w:p>
    <w:p w:rsidR="00260553" w:rsidRDefault="00260553" w:rsidP="00DC4558">
      <w:pPr>
        <w:widowControl w:val="0"/>
        <w:tabs>
          <w:tab w:val="left" w:pos="195"/>
          <w:tab w:val="center" w:pos="4677"/>
        </w:tabs>
        <w:autoSpaceDE w:val="0"/>
        <w:autoSpaceDN w:val="0"/>
        <w:adjustRightInd w:val="0"/>
      </w:pPr>
      <w:r>
        <w:t>Под юго-восточным регионом Могилевской области понимается территория Кричевского, Климовичского, Краснопольского, Костюковичского, Славгородского, Чериковского и Хотимского районов Могилевской области</w:t>
      </w:r>
    </w:p>
    <w:p w:rsidR="00E12FB2" w:rsidRDefault="00E12FB2" w:rsidP="00DC4558">
      <w:pPr>
        <w:widowControl w:val="0"/>
        <w:tabs>
          <w:tab w:val="left" w:pos="195"/>
          <w:tab w:val="center" w:pos="4677"/>
        </w:tabs>
        <w:autoSpaceDE w:val="0"/>
        <w:autoSpaceDN w:val="0"/>
        <w:adjustRightInd w:val="0"/>
      </w:pPr>
    </w:p>
    <w:p w:rsidR="00E12FB2" w:rsidRDefault="00E12FB2" w:rsidP="00DC4558">
      <w:pPr>
        <w:widowControl w:val="0"/>
        <w:tabs>
          <w:tab w:val="left" w:pos="195"/>
          <w:tab w:val="center" w:pos="4677"/>
        </w:tabs>
        <w:autoSpaceDE w:val="0"/>
        <w:autoSpaceDN w:val="0"/>
        <w:adjustRightInd w:val="0"/>
      </w:pPr>
    </w:p>
    <w:p w:rsidR="00E12FB2" w:rsidRPr="00E12FB2" w:rsidRDefault="00E12FB2" w:rsidP="00DC4558">
      <w:pPr>
        <w:widowControl w:val="0"/>
        <w:tabs>
          <w:tab w:val="left" w:pos="195"/>
          <w:tab w:val="center" w:pos="4677"/>
        </w:tabs>
        <w:autoSpaceDE w:val="0"/>
        <w:autoSpaceDN w:val="0"/>
        <w:adjustRightInd w:val="0"/>
        <w:rPr>
          <w:b/>
        </w:rPr>
      </w:pPr>
      <w:r w:rsidRPr="00E12FB2">
        <w:rPr>
          <w:b/>
        </w:rPr>
        <w:t>По вопросам предоставления финансирования, просьба обращаться:</w:t>
      </w:r>
    </w:p>
    <w:p w:rsidR="00E12FB2" w:rsidRDefault="00E12FB2" w:rsidP="00DC4558">
      <w:pPr>
        <w:widowControl w:val="0"/>
        <w:tabs>
          <w:tab w:val="left" w:pos="195"/>
          <w:tab w:val="center" w:pos="4677"/>
        </w:tabs>
        <w:autoSpaceDE w:val="0"/>
        <w:autoSpaceDN w:val="0"/>
        <w:adjustRightInd w:val="0"/>
      </w:pPr>
    </w:p>
    <w:p w:rsidR="00E12FB2" w:rsidRPr="00E12FB2" w:rsidRDefault="00E12FB2" w:rsidP="00E12FB2">
      <w:pPr>
        <w:widowControl w:val="0"/>
        <w:tabs>
          <w:tab w:val="left" w:pos="195"/>
          <w:tab w:val="center" w:pos="4677"/>
        </w:tabs>
        <w:autoSpaceDE w:val="0"/>
        <w:autoSpaceDN w:val="0"/>
        <w:adjustRightInd w:val="0"/>
        <w:rPr>
          <w:b/>
        </w:rPr>
      </w:pPr>
      <w:r w:rsidRPr="00E12FB2">
        <w:rPr>
          <w:b/>
        </w:rPr>
        <w:t>Котов Александр Евгеньевич</w:t>
      </w:r>
    </w:p>
    <w:p w:rsidR="00E12FB2" w:rsidRDefault="00E12FB2" w:rsidP="00E12FB2">
      <w:pPr>
        <w:widowControl w:val="0"/>
        <w:tabs>
          <w:tab w:val="left" w:pos="195"/>
          <w:tab w:val="center" w:pos="4677"/>
        </w:tabs>
        <w:autoSpaceDE w:val="0"/>
        <w:autoSpaceDN w:val="0"/>
        <w:adjustRightInd w:val="0"/>
        <w:rPr>
          <w:b/>
        </w:rPr>
      </w:pPr>
      <w:r w:rsidRPr="00E12FB2">
        <w:rPr>
          <w:b/>
        </w:rPr>
        <w:t>ОАО «Банк ДАБРАБЫТ"</w:t>
      </w:r>
    </w:p>
    <w:p w:rsidR="00E12FB2" w:rsidRPr="00E12FB2" w:rsidRDefault="00E12FB2" w:rsidP="00E12FB2">
      <w:pPr>
        <w:widowControl w:val="0"/>
        <w:tabs>
          <w:tab w:val="left" w:pos="195"/>
          <w:tab w:val="center" w:pos="4677"/>
        </w:tabs>
        <w:autoSpaceDE w:val="0"/>
        <w:autoSpaceDN w:val="0"/>
        <w:adjustRightInd w:val="0"/>
        <w:rPr>
          <w:b/>
        </w:rPr>
      </w:pPr>
      <w:r w:rsidRPr="00E12FB2">
        <w:rPr>
          <w:b/>
        </w:rPr>
        <w:t>г. Могилев, ул. Пионерская, 37А</w:t>
      </w:r>
    </w:p>
    <w:p w:rsidR="00E12FB2" w:rsidRPr="00337331" w:rsidRDefault="00E12FB2" w:rsidP="00E12FB2">
      <w:pPr>
        <w:widowControl w:val="0"/>
        <w:tabs>
          <w:tab w:val="left" w:pos="195"/>
          <w:tab w:val="center" w:pos="4677"/>
        </w:tabs>
        <w:autoSpaceDE w:val="0"/>
        <w:autoSpaceDN w:val="0"/>
        <w:adjustRightInd w:val="0"/>
        <w:rPr>
          <w:b/>
        </w:rPr>
      </w:pPr>
      <w:r w:rsidRPr="00E12FB2">
        <w:rPr>
          <w:b/>
        </w:rPr>
        <w:t>Тел</w:t>
      </w:r>
      <w:r w:rsidRPr="00337331">
        <w:rPr>
          <w:b/>
        </w:rPr>
        <w:t>. +375</w:t>
      </w:r>
      <w:r w:rsidRPr="006D689B">
        <w:rPr>
          <w:b/>
          <w:lang w:val="en-US"/>
        </w:rPr>
        <w:t> </w:t>
      </w:r>
      <w:r w:rsidRPr="00337331">
        <w:rPr>
          <w:b/>
        </w:rPr>
        <w:t>222 22 45 04;</w:t>
      </w:r>
    </w:p>
    <w:p w:rsidR="00E12FB2" w:rsidRPr="006D689B" w:rsidRDefault="00E12FB2" w:rsidP="00E12FB2">
      <w:pPr>
        <w:widowControl w:val="0"/>
        <w:tabs>
          <w:tab w:val="left" w:pos="195"/>
          <w:tab w:val="center" w:pos="4677"/>
        </w:tabs>
        <w:autoSpaceDE w:val="0"/>
        <w:autoSpaceDN w:val="0"/>
        <w:adjustRightInd w:val="0"/>
        <w:rPr>
          <w:b/>
          <w:lang w:val="en-US"/>
        </w:rPr>
      </w:pPr>
      <w:r w:rsidRPr="006D689B">
        <w:rPr>
          <w:b/>
          <w:lang w:val="en-US"/>
        </w:rPr>
        <w:t>+375 (25) 951 60 96;</w:t>
      </w:r>
    </w:p>
    <w:p w:rsidR="00E12FB2" w:rsidRPr="006D689B" w:rsidRDefault="00E12FB2" w:rsidP="00E12FB2">
      <w:pPr>
        <w:widowControl w:val="0"/>
        <w:tabs>
          <w:tab w:val="left" w:pos="195"/>
          <w:tab w:val="center" w:pos="4677"/>
        </w:tabs>
        <w:autoSpaceDE w:val="0"/>
        <w:autoSpaceDN w:val="0"/>
        <w:adjustRightInd w:val="0"/>
        <w:rPr>
          <w:b/>
          <w:lang w:val="en-US"/>
        </w:rPr>
      </w:pPr>
      <w:r w:rsidRPr="006D689B">
        <w:rPr>
          <w:b/>
          <w:lang w:val="en-US"/>
        </w:rPr>
        <w:t xml:space="preserve">e-mail: </w:t>
      </w:r>
      <w:hyperlink r:id="rId6" w:history="1">
        <w:r w:rsidRPr="006D689B">
          <w:rPr>
            <w:b/>
            <w:lang w:val="en-US"/>
          </w:rPr>
          <w:t>mgl_Akotov@bankdabrabyt.by</w:t>
        </w:r>
      </w:hyperlink>
    </w:p>
    <w:p w:rsidR="00E12FB2" w:rsidRPr="006D689B" w:rsidRDefault="00E12FB2" w:rsidP="00DC4558">
      <w:pPr>
        <w:widowControl w:val="0"/>
        <w:tabs>
          <w:tab w:val="left" w:pos="195"/>
          <w:tab w:val="center" w:pos="4677"/>
        </w:tabs>
        <w:autoSpaceDE w:val="0"/>
        <w:autoSpaceDN w:val="0"/>
        <w:adjustRightInd w:val="0"/>
        <w:rPr>
          <w:sz w:val="26"/>
          <w:szCs w:val="26"/>
          <w:lang w:val="en-US"/>
        </w:rPr>
      </w:pPr>
    </w:p>
    <w:sectPr w:rsidR="00E12FB2" w:rsidRPr="006D689B" w:rsidSect="00871E7F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03D" w:rsidRDefault="006D303D" w:rsidP="00780793">
      <w:r>
        <w:separator/>
      </w:r>
    </w:p>
  </w:endnote>
  <w:endnote w:type="continuationSeparator" w:id="0">
    <w:p w:rsidR="006D303D" w:rsidRDefault="006D303D" w:rsidP="00780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03D" w:rsidRDefault="006D303D" w:rsidP="00780793">
      <w:r>
        <w:separator/>
      </w:r>
    </w:p>
  </w:footnote>
  <w:footnote w:type="continuationSeparator" w:id="0">
    <w:p w:rsidR="006D303D" w:rsidRDefault="006D303D" w:rsidP="00780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FB2" w:rsidRDefault="00E12FB2">
    <w:pPr>
      <w:pStyle w:val="a7"/>
    </w:pPr>
    <w:r>
      <w:rPr>
        <w:rFonts w:ascii="Montserrat" w:hAnsi="Montserrat"/>
        <w:noProof/>
      </w:rPr>
      <w:drawing>
        <wp:inline distT="0" distB="0" distL="0" distR="0">
          <wp:extent cx="1819275" cy="466725"/>
          <wp:effectExtent l="0" t="0" r="9525" b="9525"/>
          <wp:docPr id="2" name="Рисунок 2" descr="D-Bank_logo_main_rus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D-Bank_logo_main_rus_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060"/>
    <w:rsid w:val="000711D2"/>
    <w:rsid w:val="00260553"/>
    <w:rsid w:val="00337331"/>
    <w:rsid w:val="003E23EE"/>
    <w:rsid w:val="004853B7"/>
    <w:rsid w:val="004D7C39"/>
    <w:rsid w:val="0051504B"/>
    <w:rsid w:val="00591999"/>
    <w:rsid w:val="00612060"/>
    <w:rsid w:val="006A0024"/>
    <w:rsid w:val="006B2289"/>
    <w:rsid w:val="006D303D"/>
    <w:rsid w:val="006D689B"/>
    <w:rsid w:val="00780793"/>
    <w:rsid w:val="00871E7F"/>
    <w:rsid w:val="00923D14"/>
    <w:rsid w:val="009D4B78"/>
    <w:rsid w:val="00AE2A80"/>
    <w:rsid w:val="00BE6045"/>
    <w:rsid w:val="00DB1E2E"/>
    <w:rsid w:val="00DC4558"/>
    <w:rsid w:val="00E12FB2"/>
    <w:rsid w:val="00E85E3D"/>
    <w:rsid w:val="00FE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807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807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780793"/>
    <w:rPr>
      <w:vertAlign w:val="superscript"/>
    </w:rPr>
  </w:style>
  <w:style w:type="table" w:customStyle="1" w:styleId="1">
    <w:name w:val="Сетка таблицы1"/>
    <w:basedOn w:val="a1"/>
    <w:uiPriority w:val="59"/>
    <w:rsid w:val="00780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E12FB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12F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2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12F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2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002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A00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gl_Akotov@bankdabrabyt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785E.FBA1ED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Инна Эдуардовна</dc:creator>
  <cp:keywords/>
  <dc:description/>
  <cp:lastModifiedBy>Иванова Оксана Федоровна</cp:lastModifiedBy>
  <cp:revision>2</cp:revision>
  <cp:lastPrinted>2019-10-01T11:41:00Z</cp:lastPrinted>
  <dcterms:created xsi:type="dcterms:W3CDTF">2019-10-08T12:16:00Z</dcterms:created>
  <dcterms:modified xsi:type="dcterms:W3CDTF">2019-10-08T12:16:00Z</dcterms:modified>
</cp:coreProperties>
</file>