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B72D4" w:rsidRDefault="009B72D4" w:rsidP="00A251B3">
      <w:pPr>
        <w:shd w:val="clear" w:color="auto" w:fill="FFFFFF"/>
        <w:spacing w:before="198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58"/>
          <w:szCs w:val="5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58"/>
          <w:szCs w:val="5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58"/>
          <w:szCs w:val="58"/>
          <w:lang w:eastAsia="ru-RU"/>
        </w:rPr>
        <w:instrText xml:space="preserve"> HYPERLINK "</w:instrText>
      </w:r>
      <w:r w:rsidRPr="009B72D4">
        <w:rPr>
          <w:rFonts w:ascii="Times New Roman" w:eastAsia="Times New Roman" w:hAnsi="Times New Roman" w:cs="Times New Roman"/>
          <w:b/>
          <w:bCs/>
          <w:color w:val="222222"/>
          <w:kern w:val="36"/>
          <w:sz w:val="58"/>
          <w:szCs w:val="58"/>
          <w:lang w:eastAsia="ru-RU"/>
        </w:rPr>
        <w:instrText>https://sdgs.by/news/konkurs-pilotnyh-inicziativ-po-czelyam-ustojchivogo-razvitiya/</w:instrText>
      </w: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58"/>
          <w:szCs w:val="58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58"/>
          <w:szCs w:val="58"/>
          <w:lang w:eastAsia="ru-RU"/>
        </w:rPr>
        <w:fldChar w:fldCharType="separate"/>
      </w:r>
      <w:r w:rsidRPr="00B30D82">
        <w:rPr>
          <w:rStyle w:val="a6"/>
          <w:rFonts w:ascii="Times New Roman" w:eastAsia="Times New Roman" w:hAnsi="Times New Roman" w:cs="Times New Roman"/>
          <w:b/>
          <w:bCs/>
          <w:kern w:val="36"/>
          <w:sz w:val="58"/>
          <w:szCs w:val="58"/>
          <w:lang w:eastAsia="ru-RU"/>
        </w:rPr>
        <w:t>https://sdgs.by/news/konkurs-pilotnyh-inicziativ-po-czelyam-ustojchivogo-razvitiya/</w:t>
      </w: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58"/>
          <w:szCs w:val="58"/>
          <w:lang w:eastAsia="ru-RU"/>
        </w:rPr>
        <w:fldChar w:fldCharType="end"/>
      </w:r>
    </w:p>
    <w:p w:rsidR="00A251B3" w:rsidRPr="00A251B3" w:rsidRDefault="00A251B3" w:rsidP="00A251B3">
      <w:pPr>
        <w:shd w:val="clear" w:color="auto" w:fill="FFFFFF"/>
        <w:spacing w:before="198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58"/>
          <w:szCs w:val="58"/>
          <w:lang w:eastAsia="ru-RU"/>
        </w:rPr>
      </w:pPr>
      <w:r w:rsidRPr="00A251B3">
        <w:rPr>
          <w:rFonts w:ascii="Times New Roman" w:eastAsia="Times New Roman" w:hAnsi="Times New Roman" w:cs="Times New Roman"/>
          <w:b/>
          <w:bCs/>
          <w:color w:val="222222"/>
          <w:kern w:val="36"/>
          <w:sz w:val="58"/>
          <w:szCs w:val="58"/>
          <w:lang w:eastAsia="ru-RU"/>
        </w:rPr>
        <w:t>Конкурс пилотных инициатив по Целям устойчивого развития</w:t>
      </w:r>
    </w:p>
    <w:p w:rsidR="00A251B3" w:rsidRPr="00A251B3" w:rsidRDefault="00A251B3" w:rsidP="00A25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5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|</w:t>
      </w:r>
    </w:p>
    <w:p w:rsidR="00A251B3" w:rsidRPr="00A251B3" w:rsidRDefault="00A251B3" w:rsidP="00A251B3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5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2024 году в Беларуси пройдет Конкурс пилотных инициатив по Целям устойчивого развития (ЦУР). 17 ЦУР (cм. </w:t>
      </w:r>
      <w:hyperlink r:id="rId5" w:history="1">
        <w:r w:rsidRPr="00A251B3">
          <w:rPr>
            <w:rFonts w:ascii="Times New Roman" w:eastAsia="Times New Roman" w:hAnsi="Times New Roman" w:cs="Times New Roman"/>
            <w:color w:val="87CEFA"/>
            <w:sz w:val="27"/>
            <w:szCs w:val="27"/>
            <w:u w:val="single"/>
            <w:lang w:eastAsia="ru-RU"/>
          </w:rPr>
          <w:t>Цели устойчивого развития</w:t>
        </w:r>
      </w:hyperlink>
      <w:r w:rsidRPr="00A25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включают 169 задач в сфере образования, здравоохранения, охраны окружающей среды, мира и благополучия и др., для решения которых должны предприниматься меры не только на глобальном, но и на местном уровне.  </w:t>
      </w:r>
    </w:p>
    <w:p w:rsidR="00A251B3" w:rsidRPr="00A251B3" w:rsidRDefault="00A251B3" w:rsidP="00A251B3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5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рамках Конкурса пилотных инициатив по ЦУР будут поддержаны местные идеи, которые внесут вклад в устойчивое развитие регионов страны и местного сообщества и смогут быть масштабированы по всей стране.</w:t>
      </w:r>
    </w:p>
    <w:p w:rsidR="00A251B3" w:rsidRPr="00A251B3" w:rsidRDefault="00A251B3" w:rsidP="00A251B3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5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Конкурсе могут участвовать организации, зарегистрированные и осуществляющие свою деятельность в Республике Беларусь. Для участия в Конкурсе организация должна подать заявку через платформу </w:t>
      </w:r>
      <w:hyperlink r:id="rId6" w:history="1">
        <w:r w:rsidRPr="00A251B3">
          <w:rPr>
            <w:rFonts w:ascii="Times New Roman" w:eastAsia="Times New Roman" w:hAnsi="Times New Roman" w:cs="Times New Roman"/>
            <w:color w:val="87CEFA"/>
            <w:sz w:val="27"/>
            <w:szCs w:val="27"/>
            <w:u w:val="single"/>
            <w:lang w:eastAsia="ru-RU"/>
          </w:rPr>
          <w:t>https://sdgidea.by</w:t>
        </w:r>
      </w:hyperlink>
      <w:r w:rsidRPr="00A25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Заявки будут приниматься </w:t>
      </w:r>
      <w:r w:rsidRPr="00A251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 1 мая по 31 мая 2024 года</w:t>
      </w:r>
      <w:r w:rsidRPr="00A25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(до 18:00).</w:t>
      </w:r>
    </w:p>
    <w:p w:rsidR="00A251B3" w:rsidRPr="00A251B3" w:rsidRDefault="00A251B3" w:rsidP="00A251B3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5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Важно, чтобы инициативы, с которыми организации подаются на конкурс, соответствовали как минимум одной из 17 ЦУР, а также одной из четырех Платформ ускорения ЦУР (см. </w:t>
      </w:r>
      <w:hyperlink r:id="rId7" w:history="1">
        <w:r w:rsidRPr="00A251B3">
          <w:rPr>
            <w:rFonts w:ascii="Times New Roman" w:eastAsia="Times New Roman" w:hAnsi="Times New Roman" w:cs="Times New Roman"/>
            <w:color w:val="87CEFA"/>
            <w:sz w:val="27"/>
            <w:szCs w:val="27"/>
            <w:u w:val="single"/>
            <w:lang w:eastAsia="ru-RU"/>
          </w:rPr>
          <w:t>Платформы ускорения ЦУР</w:t>
        </w:r>
      </w:hyperlink>
      <w:r w:rsidRPr="00A25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A251B3" w:rsidRPr="00A251B3" w:rsidRDefault="00A251B3" w:rsidP="00A251B3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5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Подробнее с порядком и условиями проведения Конкурса пилотных инициатив по ЦУР можно ознакомиться по </w:t>
      </w:r>
      <w:hyperlink r:id="rId8" w:history="1">
        <w:r w:rsidRPr="00A251B3">
          <w:rPr>
            <w:rFonts w:ascii="Times New Roman" w:eastAsia="Times New Roman" w:hAnsi="Times New Roman" w:cs="Times New Roman"/>
            <w:color w:val="87CEFA"/>
            <w:sz w:val="27"/>
            <w:szCs w:val="27"/>
            <w:u w:val="single"/>
            <w:lang w:eastAsia="ru-RU"/>
          </w:rPr>
          <w:t>ссылке</w:t>
        </w:r>
      </w:hyperlink>
      <w:r w:rsidRPr="00A25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251B3" w:rsidRPr="00A251B3" w:rsidRDefault="00A251B3" w:rsidP="00A251B3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5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 проводится в рамках </w:t>
      </w:r>
      <w:hyperlink r:id="rId9" w:history="1">
        <w:r w:rsidRPr="00A251B3">
          <w:rPr>
            <w:rFonts w:ascii="Times New Roman" w:eastAsia="Times New Roman" w:hAnsi="Times New Roman" w:cs="Times New Roman"/>
            <w:color w:val="87CEFA"/>
            <w:sz w:val="27"/>
            <w:szCs w:val="27"/>
            <w:u w:val="single"/>
            <w:lang w:eastAsia="ru-RU"/>
          </w:rPr>
          <w:t>Проекта «Поддержка усилий Республики Беларусь в национализации и локализации Целей устойчивого развития»</w:t>
        </w:r>
      </w:hyperlink>
      <w:r w:rsidRPr="00A25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финансируемого Правительством Российской Федерации. Проект зарегистрирован в базе данных программ и проектов международной технической помощи 28 декабря 2022 г. №2/22/001160.</w:t>
      </w:r>
    </w:p>
    <w:p w:rsidR="00A251B3" w:rsidRPr="00A251B3" w:rsidRDefault="00A251B3" w:rsidP="00A25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51B3" w:rsidRPr="00A251B3" w:rsidRDefault="00A251B3" w:rsidP="00A251B3">
      <w:pPr>
        <w:spacing w:after="225" w:line="240" w:lineRule="auto"/>
        <w:outlineLvl w:val="1"/>
        <w:rPr>
          <w:rFonts w:ascii="Roboto" w:eastAsia="Times New Roman" w:hAnsi="Roboto" w:cs="Times New Roman"/>
          <w:b/>
          <w:bCs/>
          <w:color w:val="000000"/>
          <w:sz w:val="54"/>
          <w:szCs w:val="54"/>
          <w:lang w:eastAsia="ru-RU"/>
        </w:rPr>
      </w:pPr>
      <w:r w:rsidRPr="00A251B3">
        <w:rPr>
          <w:rFonts w:ascii="Roboto" w:eastAsia="Times New Roman" w:hAnsi="Roboto" w:cs="Times New Roman"/>
          <w:b/>
          <w:bCs/>
          <w:color w:val="000000"/>
          <w:sz w:val="54"/>
          <w:szCs w:val="54"/>
          <w:lang w:eastAsia="ru-RU"/>
        </w:rPr>
        <w:t>Платформы ускорения ЦУР</w:t>
      </w:r>
    </w:p>
    <w:p w:rsidR="00A251B3" w:rsidRPr="00A251B3" w:rsidRDefault="00A251B3" w:rsidP="00A251B3">
      <w:pPr>
        <w:spacing w:after="225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A251B3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lastRenderedPageBreak/>
        <w:t>С целью ускорения реализации Повестки дня-2030 при поддержке миссии ООН MAPS в Беларуси разработана Дорожная карта по реализации Целей устойчивого развития в Республике Беларусь. В </w:t>
      </w:r>
      <w:hyperlink r:id="rId10" w:history="1">
        <w:r w:rsidRPr="00A251B3">
          <w:rPr>
            <w:rFonts w:ascii="Roboto" w:eastAsia="Times New Roman" w:hAnsi="Roboto" w:cs="Times New Roman"/>
            <w:color w:val="2C5B95"/>
            <w:sz w:val="27"/>
            <w:szCs w:val="27"/>
            <w:u w:val="single"/>
            <w:lang w:eastAsia="ru-RU"/>
          </w:rPr>
          <w:t>Дорожной карте определены четыре платформы ускорения достижения ЦУР (акселераторы ЦУР)</w:t>
        </w:r>
      </w:hyperlink>
      <w:r w:rsidRPr="00A251B3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 которые включают стратегические и программные меры, учитывающие достигнутые успехи Беларуси, приоритеты развития страны, государственную политику, а также риски, которые могут возникнуть в отношении достигнутых результатов.</w:t>
      </w:r>
    </w:p>
    <w:p w:rsidR="00A251B3" w:rsidRPr="00A251B3" w:rsidRDefault="00A251B3" w:rsidP="00A251B3">
      <w:pPr>
        <w:shd w:val="clear" w:color="auto" w:fill="FFFFFF"/>
        <w:spacing w:before="198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58"/>
          <w:szCs w:val="5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58"/>
          <w:szCs w:val="58"/>
          <w:lang w:eastAsia="ru-RU"/>
        </w:rPr>
        <w:t>1.</w:t>
      </w:r>
      <w:r w:rsidRPr="00A251B3">
        <w:rPr>
          <w:rFonts w:ascii="Times New Roman" w:eastAsia="Times New Roman" w:hAnsi="Times New Roman" w:cs="Times New Roman"/>
          <w:b/>
          <w:bCs/>
          <w:color w:val="222222"/>
          <w:kern w:val="36"/>
          <w:sz w:val="58"/>
          <w:szCs w:val="58"/>
          <w:lang w:eastAsia="ru-RU"/>
        </w:rPr>
        <w:t>Цифровые трансформации и социальные инновации</w:t>
      </w:r>
    </w:p>
    <w:p w:rsidR="00A251B3" w:rsidRPr="00A251B3" w:rsidRDefault="00A251B3" w:rsidP="00A25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5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|</w:t>
      </w:r>
    </w:p>
    <w:p w:rsidR="00A251B3" w:rsidRPr="00A251B3" w:rsidRDefault="00A251B3" w:rsidP="00A25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51B3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/>
        </w:rPr>
        <mc:AlternateContent>
          <mc:Choice Requires="wps">
            <w:drawing>
              <wp:inline distT="0" distB="0" distL="0" distR="0" wp14:anchorId="35FF8338" wp14:editId="2659BCE8">
                <wp:extent cx="304800" cy="304800"/>
                <wp:effectExtent l="0" t="0" r="0" b="0"/>
                <wp:docPr id="1" name="AutoShape 1" descr="https://sdgs.by/wp-content/uploads/2024/02/3-1-jp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sdgs.by/wp-content/uploads/2024/02/3-1-jpg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FemCDfbAgAA9w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:rsidR="00A251B3" w:rsidRPr="00A251B3" w:rsidRDefault="00A251B3" w:rsidP="00A251B3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5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2016 году с появлением книги «Технологии четвертой промышленной революции» весь мир массово заговорил о переходе к новому обществу, основанному на масштабном внедрении информационных технологий в производство, распространении искусственного интеллекта, автоматизации процессов управления. Платформа ускорения ЦУР «Цифровые трансформации и социальные инновации» ориентирована на использование потенциала четвертой промышленной революции для достижения ЦУР.</w:t>
      </w:r>
    </w:p>
    <w:p w:rsidR="00A251B3" w:rsidRPr="00A251B3" w:rsidRDefault="00A251B3" w:rsidP="00A251B3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5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Цифровые трансформации означают внедрение цифровых технологий в деятельность организаций для ускорения и усовершенствования процессов принятия решений и управления. Социальные инновации включают новые идеи и технологии, которые способствуют решению социально-значимых задач. Таким образом, цифровизация должна затрагивать как частную, так и публичную сферы общества.</w:t>
      </w:r>
    </w:p>
    <w:p w:rsidR="00A251B3" w:rsidRPr="00A251B3" w:rsidRDefault="00A251B3" w:rsidP="00A251B3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5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Беларусь последовательно совершенствует свою политику и инфраструктуру для продвижения цифрового правительства, экономики и общества.  Важным в этом направлении является продвижение инвестиций, создание благоприятных условий для внедрения инноваций, обеспечение безопасности и конфиденциальности данных, полный переход предприятий на цифровые технологии, развитие электронного управления и правосудия. Также важно использовать возможности искусственного интеллекта в интересах уязвимых групп, например, для преодоления барьеров для людей с инвалидностью.</w:t>
      </w:r>
    </w:p>
    <w:p w:rsidR="00A251B3" w:rsidRPr="00A251B3" w:rsidRDefault="00A251B3" w:rsidP="00A251B3">
      <w:pPr>
        <w:spacing w:after="225" w:line="240" w:lineRule="auto"/>
        <w:outlineLvl w:val="1"/>
        <w:rPr>
          <w:rFonts w:ascii="Roboto" w:eastAsia="Times New Roman" w:hAnsi="Roboto" w:cs="Times New Roman"/>
          <w:b/>
          <w:bCs/>
          <w:color w:val="000000"/>
          <w:sz w:val="54"/>
          <w:szCs w:val="54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54"/>
          <w:szCs w:val="54"/>
          <w:lang w:eastAsia="ru-RU"/>
        </w:rPr>
        <w:t>2.</w:t>
      </w:r>
      <w:r w:rsidRPr="00A251B3">
        <w:rPr>
          <w:rFonts w:ascii="Roboto" w:eastAsia="Times New Roman" w:hAnsi="Roboto" w:cs="Times New Roman"/>
          <w:b/>
          <w:bCs/>
          <w:color w:val="000000"/>
          <w:sz w:val="54"/>
          <w:szCs w:val="54"/>
          <w:lang w:eastAsia="ru-RU"/>
        </w:rPr>
        <w:t>«Зеленый» переход к инклюзивному и устойчивому росту</w:t>
      </w:r>
    </w:p>
    <w:p w:rsidR="00A251B3" w:rsidRPr="00A251B3" w:rsidRDefault="00A251B3" w:rsidP="00A251B3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A251B3" w:rsidRPr="00A251B3" w:rsidRDefault="00A251B3" w:rsidP="00A251B3">
      <w:pPr>
        <w:spacing w:after="225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A251B3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Приоритетом данного акселератора ЦУР является продвижение «зеленой» экономики – экономики, основанной на ответственном отношении человека к ресурсам планеты и минимальном количестве выбросов парниковых газов в атмосферу. При такой модели охрана окружающей среды становится не нагрузкой на экономику, а двигателем ее развития. Так новые «зеленые» технологии делают экономику современной и ориентированной на будущее, повышают ее конкурентоспособность, обеспечивают выход на новые рынки и создание новых рабочих мест.</w:t>
      </w:r>
    </w:p>
    <w:p w:rsidR="00A251B3" w:rsidRPr="00A251B3" w:rsidRDefault="00A251B3" w:rsidP="00A251B3">
      <w:pPr>
        <w:spacing w:after="225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A251B3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Переход к «зеленой» экономической модели основан на развитии секторов, которые мало потребляют или не потребляют ископаемое топливо. К таким секторам относятся информационно-коммуникационные технологии, образование, здравоохранение, туризм. Беларусь имеет заметные преимущества в этих областях благодаря высокообразованному населению, компактному и выгодному географическому положению, инфраструктуре, климату и признанному всемирному наследию.</w:t>
      </w:r>
    </w:p>
    <w:p w:rsidR="00A251B3" w:rsidRPr="00A251B3" w:rsidRDefault="00A251B3" w:rsidP="00A251B3">
      <w:pPr>
        <w:spacing w:after="225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A251B3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В рамках данной платформы ускорения ЦУР основной задачей является разработка механизмов и программ для создания рынка «зеленых» товаров и услуг. Для этого могут быть предприняты следующие меры: инвестиции в «зеленые» исследования и разработки, снижение потребления энергии и минимизация отходов, охрана и восстановление экосистем, развитие экотуризма, введение национальных схем продажи квот на выбросы парниковых газов или налога на выбросы углерода, распространение использования возобновляемых источников энергии, повышение эффективности расхода топливных ресурсов, в том числе путем использования электромобилей, улучшение сельского хозяйства и производства органических продуктов питания и другие.</w:t>
      </w:r>
    </w:p>
    <w:p w:rsidR="00A251B3" w:rsidRPr="00A251B3" w:rsidRDefault="00A251B3" w:rsidP="00A251B3">
      <w:pPr>
        <w:spacing w:after="225" w:line="240" w:lineRule="auto"/>
        <w:outlineLvl w:val="1"/>
        <w:rPr>
          <w:rFonts w:ascii="Roboto" w:eastAsia="Times New Roman" w:hAnsi="Roboto" w:cs="Times New Roman"/>
          <w:b/>
          <w:bCs/>
          <w:color w:val="000000"/>
          <w:sz w:val="54"/>
          <w:szCs w:val="54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54"/>
          <w:szCs w:val="54"/>
          <w:lang w:eastAsia="ru-RU"/>
        </w:rPr>
        <w:t>3.</w:t>
      </w:r>
      <w:r w:rsidRPr="00A251B3">
        <w:rPr>
          <w:rFonts w:ascii="Roboto" w:eastAsia="Times New Roman" w:hAnsi="Roboto" w:cs="Times New Roman"/>
          <w:b/>
          <w:bCs/>
          <w:color w:val="000000"/>
          <w:sz w:val="54"/>
          <w:szCs w:val="54"/>
          <w:lang w:eastAsia="ru-RU"/>
        </w:rPr>
        <w:t>Ориентация на будущие поколения: подростки и молодежь</w:t>
      </w:r>
    </w:p>
    <w:p w:rsidR="00A251B3" w:rsidRPr="00A251B3" w:rsidRDefault="00A251B3" w:rsidP="00A251B3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A251B3" w:rsidRPr="00A251B3" w:rsidRDefault="00A251B3" w:rsidP="00A251B3">
      <w:pPr>
        <w:spacing w:after="225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A251B3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Данная платформа ускорения ЦУР ориентирована на будущее, в котором молодые люди имеют много возможностей для достойной занятости, здорового образа жизни и участия в принятии важнейших государственных решений. Для построения такого будущего обществу важно обеспечить:</w:t>
      </w:r>
    </w:p>
    <w:p w:rsidR="00A251B3" w:rsidRPr="00A251B3" w:rsidRDefault="00A251B3" w:rsidP="00A251B3">
      <w:pPr>
        <w:spacing w:after="225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A251B3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1. здоровье, благополучие и развитие подростков и молодых людей;</w:t>
      </w:r>
    </w:p>
    <w:p w:rsidR="00A251B3" w:rsidRPr="00A251B3" w:rsidRDefault="00A251B3" w:rsidP="00A251B3">
      <w:pPr>
        <w:spacing w:after="225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A251B3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расширение возможностей для вовлеченности, реализации прав и формирования навыков молодежи.</w:t>
      </w:r>
    </w:p>
    <w:p w:rsidR="00A251B3" w:rsidRPr="00A251B3" w:rsidRDefault="00A251B3" w:rsidP="00A251B3">
      <w:pPr>
        <w:spacing w:after="225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A251B3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Чтобы снизить риски для здоровья молодежи, связанные с зависимостями, болезнями, насилием, психическими расстройствами и стрессом, необходимо совершенствовать доступ к услугам сексуального и репродуктивного здоровья, а также психосоциальной помощи. Важно поддерживать наиболее уязвимые группы, например, молодых людей с инвалидностью. Кроме того, необходимо </w:t>
      </w:r>
      <w:r w:rsidRPr="00A251B3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lastRenderedPageBreak/>
        <w:t>совершенствовать воспитательные и реабилитационные программы для профилактики правонарушений и улучшения социальной интеграции людей, совершивших противоправные действия.</w:t>
      </w:r>
    </w:p>
    <w:p w:rsidR="00A251B3" w:rsidRPr="00A251B3" w:rsidRDefault="00A251B3" w:rsidP="00A251B3">
      <w:pPr>
        <w:spacing w:after="225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A251B3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Для того, чтобы молодежь обладала необходимыми знаниями и навыками и имела возможность для активной вовлеченности в жизнь современного общества нужны непрерывные инвестиции в систему образования Республики Беларусь, особенно в высшее и профессиональное образование. Это позволит молодым людям получить доступ к новым технологиям и дисциплинам, а также освоить профессии в растущих секторах, таких как ИКТ. Образованные и высококвалифицированные молодые специалисты являются отправной точкой для интеграции Беларуси в новую глобальную экономику знаний.</w:t>
      </w:r>
    </w:p>
    <w:p w:rsidR="00A251B3" w:rsidRPr="00A251B3" w:rsidRDefault="00A251B3" w:rsidP="00A251B3">
      <w:pPr>
        <w:spacing w:after="225" w:line="240" w:lineRule="auto"/>
        <w:outlineLvl w:val="1"/>
        <w:rPr>
          <w:rFonts w:ascii="Roboto" w:eastAsia="Times New Roman" w:hAnsi="Roboto" w:cs="Times New Roman"/>
          <w:b/>
          <w:bCs/>
          <w:color w:val="000000"/>
          <w:sz w:val="54"/>
          <w:szCs w:val="54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54"/>
          <w:szCs w:val="54"/>
          <w:lang w:eastAsia="ru-RU"/>
        </w:rPr>
        <w:t>4.</w:t>
      </w:r>
      <w:r w:rsidRPr="00A251B3">
        <w:rPr>
          <w:rFonts w:ascii="Roboto" w:eastAsia="Times New Roman" w:hAnsi="Roboto" w:cs="Times New Roman"/>
          <w:b/>
          <w:bCs/>
          <w:color w:val="000000"/>
          <w:sz w:val="54"/>
          <w:szCs w:val="54"/>
          <w:lang w:eastAsia="ru-RU"/>
        </w:rPr>
        <w:t>Гендерное равенство в обществе</w:t>
      </w:r>
    </w:p>
    <w:p w:rsidR="00A251B3" w:rsidRPr="00A251B3" w:rsidRDefault="00A251B3" w:rsidP="00A251B3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A251B3" w:rsidRPr="00A251B3" w:rsidRDefault="00A251B3" w:rsidP="00A251B3">
      <w:pPr>
        <w:spacing w:after="225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A251B3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Гендерное равенство подразумевает общество, в котором и женщины, и мужчины обладают равными возможностями, правами и обязательствами во всех сферах жизни.</w:t>
      </w:r>
    </w:p>
    <w:p w:rsidR="00A251B3" w:rsidRPr="00A251B3" w:rsidRDefault="00A251B3" w:rsidP="00A251B3">
      <w:pPr>
        <w:spacing w:after="225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A251B3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Чтобы достигнуть и укреплять гендерное равенство важно соблюдать баланс экономических и трудовых возможностей мужчины и женщины. Этому способствует поощрение занятости женского населения в секторах, которые являются прибыльными, но в которых женщин все еще мало, поскольку эти сферы традиционно считаются «мужскими»: промышленность, строительство, информационные технологии, назначение квалифицированных специалистов-женщин на высокие должности, стимулирование женского предпринимательства, особенно в тех секторах, где женщины недостаточно представлены (например, информационно-коммуникационные технологии).</w:t>
      </w:r>
    </w:p>
    <w:p w:rsidR="00A251B3" w:rsidRPr="00A251B3" w:rsidRDefault="00A251B3" w:rsidP="00A251B3">
      <w:pPr>
        <w:spacing w:after="225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A251B3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Важную роль играют меры, направленные на поддержку родительства и равномерного распределения обязанностей мужчины и женщины в семье.  К таким мерам относятся появление новых детских садов, центров развития детей, школ, гибкие графики работы и отпусков с учетом семейного положения, продвижение частичной занятости, стимулирование мужчин к уходу за детьми и разделению семейных обязанностей. Такие меры также увеличивают рождаемость в стране, поскольку молодые родители знают, что с появлением детей их образ жизни и экономические возможности существенно не изменятся, и они смогут быть успешными родителями, продолжая заниматься любимым делом и зарабатывать.</w:t>
      </w:r>
    </w:p>
    <w:p w:rsidR="00A251B3" w:rsidRPr="00A251B3" w:rsidRDefault="00A251B3" w:rsidP="00A251B3">
      <w:pPr>
        <w:spacing w:after="225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A251B3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Важнейшей частью гендерного равенства является также профилактика насилия и домогательств в отношении женщин и девочек. Для того, чтобы свести к минимуму риски насилия по половому признаку важно повышать информированность населения об этой теме и преодолевать существующие стереотипы.</w:t>
      </w:r>
    </w:p>
    <w:p w:rsidR="007D5D4F" w:rsidRDefault="007D5D4F"/>
    <w:sectPr w:rsidR="007D5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1B3"/>
    <w:rsid w:val="004B77B9"/>
    <w:rsid w:val="006D4FE7"/>
    <w:rsid w:val="007D5D4F"/>
    <w:rsid w:val="009B72D4"/>
    <w:rsid w:val="00A2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1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1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251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A2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251B3"/>
    <w:rPr>
      <w:color w:val="0000FF"/>
      <w:u w:val="single"/>
    </w:rPr>
  </w:style>
  <w:style w:type="character" w:styleId="a7">
    <w:name w:val="Strong"/>
    <w:basedOn w:val="a0"/>
    <w:uiPriority w:val="22"/>
    <w:qFormat/>
    <w:rsid w:val="00A251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1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1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251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A2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251B3"/>
    <w:rPr>
      <w:color w:val="0000FF"/>
      <w:u w:val="single"/>
    </w:rPr>
  </w:style>
  <w:style w:type="character" w:styleId="a7">
    <w:name w:val="Strong"/>
    <w:basedOn w:val="a0"/>
    <w:uiPriority w:val="22"/>
    <w:qFormat/>
    <w:rsid w:val="00A251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1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gs.by/wp-content/uploads/2024/02/6.-polozhenie-o-konkurs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dgs.by/platformssdgs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dgidea.by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dgs.by/targets/" TargetMode="External"/><Relationship Id="rId10" Type="http://schemas.openxmlformats.org/officeDocument/2006/relationships/hyperlink" Target="https://www.unicef.org/belarus/media/1811/file/%D0%94%D0%BE%D1%80%D0%BE%D0%B6%D0%BD%D0%B0%D1%8F%20%D0%BA%D0%B0%D1%80%D1%82%D0%B0%20%D0%BF%D0%BE%20%D1%80%D0%B5%D0%B0%D0%BB%D0%B8%D0%B7%D0%B0%D1%86%D0%B8%D0%B8%20%D0%A6%D0%A3%D0%A0%20%D0%B2%20%D0%91%D0%B5%D0%BB%D0%B0%D1%80%D1%83%D1%81%D0%B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dgs.by/sovmestnyj-proekt-podderzhka-usilij-respubliki-belarus-v-naczionalizaczii-i-lokalizaczii-czu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Речицкая Наталья Владимировна</dc:creator>
  <cp:lastModifiedBy>Старовойтова Алёна Борисовна</cp:lastModifiedBy>
  <cp:revision>2</cp:revision>
  <cp:lastPrinted>2024-03-05T13:06:00Z</cp:lastPrinted>
  <dcterms:created xsi:type="dcterms:W3CDTF">2024-03-13T05:01:00Z</dcterms:created>
  <dcterms:modified xsi:type="dcterms:W3CDTF">2024-03-13T05:01:00Z</dcterms:modified>
</cp:coreProperties>
</file>