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0A" w:rsidRPr="00E9020A" w:rsidRDefault="00E9020A" w:rsidP="00C84789">
      <w:pPr>
        <w:spacing w:after="0" w:line="240" w:lineRule="auto"/>
        <w:textAlignment w:val="center"/>
        <w:rPr>
          <w:rFonts w:eastAsia="Times New Roman"/>
          <w:color w:val="FFFFFF"/>
          <w:sz w:val="2"/>
          <w:szCs w:val="2"/>
          <w:lang w:eastAsia="ru-RU"/>
        </w:rPr>
      </w:pPr>
      <w:r w:rsidRPr="00E9020A">
        <w:rPr>
          <w:rFonts w:eastAsia="Times New Roman"/>
          <w:color w:val="FFFFFF"/>
          <w:sz w:val="2"/>
          <w:lang w:eastAsia="ru-RU"/>
        </w:rPr>
        <w:t> </w:t>
      </w:r>
    </w:p>
    <w:p w:rsidR="00653125" w:rsidRDefault="00653125" w:rsidP="00653125">
      <w:pPr>
        <w:spacing w:after="0" w:line="240" w:lineRule="auto"/>
        <w:jc w:val="center"/>
        <w:textAlignment w:val="top"/>
        <w:rPr>
          <w:rFonts w:eastAsia="Times New Roman"/>
          <w:b/>
          <w:i/>
          <w:iCs/>
          <w:sz w:val="40"/>
          <w:szCs w:val="40"/>
          <w:lang w:eastAsia="ru-RU"/>
        </w:rPr>
      </w:pPr>
      <w:r w:rsidRPr="00653125">
        <w:rPr>
          <w:rFonts w:eastAsia="Times New Roman"/>
          <w:b/>
          <w:i/>
          <w:iCs/>
          <w:sz w:val="40"/>
          <w:szCs w:val="40"/>
          <w:lang w:eastAsia="ru-RU"/>
        </w:rPr>
        <w:t>Условия предоставления финансовой поддержки субъектам малого и среднего предпринимательства  «Поддержка юго-восточных регионов» ОАО «Банк развития Республики Беларусь»</w:t>
      </w:r>
    </w:p>
    <w:p w:rsidR="00653125" w:rsidRPr="00653125" w:rsidRDefault="00653125" w:rsidP="00653125">
      <w:pPr>
        <w:spacing w:after="0" w:line="240" w:lineRule="auto"/>
        <w:jc w:val="center"/>
        <w:textAlignment w:val="top"/>
        <w:rPr>
          <w:rFonts w:eastAsia="Times New Roman"/>
          <w:b/>
          <w:i/>
          <w:iCs/>
          <w:sz w:val="40"/>
          <w:szCs w:val="40"/>
          <w:lang w:eastAsia="ru-RU"/>
        </w:rPr>
      </w:pPr>
    </w:p>
    <w:p w:rsidR="00E9020A" w:rsidRPr="00E9020A" w:rsidRDefault="00E9020A" w:rsidP="00C84789">
      <w:pPr>
        <w:spacing w:after="0" w:line="240" w:lineRule="auto"/>
        <w:jc w:val="both"/>
        <w:textAlignment w:val="top"/>
        <w:rPr>
          <w:rFonts w:eastAsia="Times New Roman"/>
          <w:sz w:val="30"/>
          <w:szCs w:val="30"/>
          <w:u w:val="single"/>
          <w:lang w:eastAsia="ru-RU"/>
        </w:rPr>
      </w:pPr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>Кто может стать участником программы:</w:t>
      </w:r>
    </w:p>
    <w:p w:rsidR="00E9020A" w:rsidRPr="00E9020A" w:rsidRDefault="00E9020A" w:rsidP="00C84789">
      <w:pPr>
        <w:numPr>
          <w:ilvl w:val="0"/>
          <w:numId w:val="1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индивидуальные предприниматели;</w:t>
      </w:r>
    </w:p>
    <w:p w:rsidR="00E9020A" w:rsidRPr="00E9020A" w:rsidRDefault="00E9020A" w:rsidP="00C84789">
      <w:pPr>
        <w:numPr>
          <w:ilvl w:val="0"/>
          <w:numId w:val="1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микроорганизации;</w:t>
      </w:r>
    </w:p>
    <w:p w:rsidR="00E9020A" w:rsidRPr="00E9020A" w:rsidRDefault="00E9020A" w:rsidP="00C84789">
      <w:pPr>
        <w:numPr>
          <w:ilvl w:val="0"/>
          <w:numId w:val="1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малые организации;</w:t>
      </w:r>
    </w:p>
    <w:p w:rsidR="00E9020A" w:rsidRPr="00E9020A" w:rsidRDefault="00E9020A" w:rsidP="00E9020A">
      <w:pPr>
        <w:numPr>
          <w:ilvl w:val="0"/>
          <w:numId w:val="1"/>
        </w:numPr>
        <w:spacing w:after="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субъекты среднего предпринимательства.</w:t>
      </w:r>
    </w:p>
    <w:p w:rsidR="00C84789" w:rsidRDefault="00C84789" w:rsidP="00C84789">
      <w:pPr>
        <w:spacing w:after="0" w:line="240" w:lineRule="auto"/>
        <w:jc w:val="both"/>
        <w:textAlignment w:val="top"/>
        <w:rPr>
          <w:rFonts w:eastAsia="Times New Roman"/>
          <w:i/>
          <w:iCs/>
          <w:sz w:val="30"/>
          <w:szCs w:val="30"/>
          <w:lang w:eastAsia="ru-RU"/>
        </w:rPr>
      </w:pPr>
    </w:p>
    <w:p w:rsidR="00C84789" w:rsidRPr="00653125" w:rsidRDefault="00E9020A" w:rsidP="00C84789">
      <w:pPr>
        <w:spacing w:after="0" w:line="240" w:lineRule="auto"/>
        <w:jc w:val="both"/>
        <w:textAlignment w:val="top"/>
        <w:rPr>
          <w:rFonts w:eastAsia="Times New Roman"/>
          <w:i/>
          <w:iCs/>
          <w:sz w:val="30"/>
          <w:szCs w:val="30"/>
          <w:u w:val="single"/>
          <w:lang w:eastAsia="ru-RU"/>
        </w:rPr>
      </w:pPr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>Цель финансирования:</w:t>
      </w:r>
    </w:p>
    <w:p w:rsidR="00E9020A" w:rsidRPr="00C84789" w:rsidRDefault="00E9020A" w:rsidP="00C84789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C84789">
        <w:rPr>
          <w:rFonts w:eastAsia="Times New Roman"/>
          <w:sz w:val="30"/>
          <w:szCs w:val="30"/>
          <w:lang w:eastAsia="ru-RU"/>
        </w:rPr>
        <w:t>финансирование затрат субъектов МСП на приобретение (реконструкцию, модернизацию, строительство, капитальный ремонт) основных средств и/или финансирование затрат субъектов МСП на приобретение нематериальных активов (франшизы) для их производственной, торговой деятельности или деятельности по оказанию услуг</w:t>
      </w:r>
    </w:p>
    <w:p w:rsidR="00C84789" w:rsidRDefault="00C84789" w:rsidP="00C84789">
      <w:pPr>
        <w:spacing w:after="0" w:line="240" w:lineRule="auto"/>
        <w:jc w:val="both"/>
        <w:textAlignment w:val="top"/>
        <w:rPr>
          <w:rFonts w:eastAsia="Times New Roman"/>
          <w:i/>
          <w:iCs/>
          <w:sz w:val="30"/>
          <w:szCs w:val="30"/>
          <w:lang w:eastAsia="ru-RU"/>
        </w:rPr>
      </w:pPr>
    </w:p>
    <w:p w:rsidR="00E9020A" w:rsidRPr="00E9020A" w:rsidRDefault="00E9020A" w:rsidP="00C84789">
      <w:pPr>
        <w:spacing w:after="0" w:line="240" w:lineRule="auto"/>
        <w:jc w:val="both"/>
        <w:textAlignment w:val="top"/>
        <w:rPr>
          <w:rFonts w:eastAsia="Times New Roman"/>
          <w:sz w:val="30"/>
          <w:szCs w:val="30"/>
          <w:u w:val="single"/>
          <w:lang w:eastAsia="ru-RU"/>
        </w:rPr>
      </w:pPr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>Процентная ставка: </w:t>
      </w:r>
    </w:p>
    <w:p w:rsidR="00E9020A" w:rsidRPr="00E9020A" w:rsidRDefault="00E9020A" w:rsidP="00C84789">
      <w:pPr>
        <w:numPr>
          <w:ilvl w:val="0"/>
          <w:numId w:val="3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1/2 ставки рефинансирования Национального банка Республики Беларусь, увеличе</w:t>
      </w:r>
      <w:r w:rsidR="00C84789">
        <w:rPr>
          <w:rFonts w:eastAsia="Times New Roman"/>
          <w:sz w:val="30"/>
          <w:szCs w:val="30"/>
          <w:lang w:eastAsia="ru-RU"/>
        </w:rPr>
        <w:t>нная на 3,5 процентных пунктов</w:t>
      </w:r>
    </w:p>
    <w:p w:rsidR="00C84789" w:rsidRDefault="00C84789" w:rsidP="00C84789">
      <w:pPr>
        <w:spacing w:after="0" w:line="240" w:lineRule="auto"/>
        <w:jc w:val="both"/>
        <w:textAlignment w:val="top"/>
        <w:rPr>
          <w:rFonts w:eastAsia="Times New Roman"/>
          <w:i/>
          <w:iCs/>
          <w:sz w:val="30"/>
          <w:szCs w:val="30"/>
          <w:lang w:eastAsia="ru-RU"/>
        </w:rPr>
      </w:pPr>
    </w:p>
    <w:p w:rsidR="00E9020A" w:rsidRPr="00E9020A" w:rsidRDefault="00E9020A" w:rsidP="00C84789">
      <w:pPr>
        <w:spacing w:after="0" w:line="240" w:lineRule="auto"/>
        <w:jc w:val="both"/>
        <w:textAlignment w:val="top"/>
        <w:rPr>
          <w:rFonts w:eastAsia="Times New Roman"/>
          <w:sz w:val="30"/>
          <w:szCs w:val="30"/>
          <w:u w:val="single"/>
          <w:lang w:eastAsia="ru-RU"/>
        </w:rPr>
      </w:pPr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>Максимальная сумма финансирования:</w:t>
      </w:r>
    </w:p>
    <w:p w:rsidR="00E9020A" w:rsidRPr="00E9020A" w:rsidRDefault="00E9020A" w:rsidP="00C84789">
      <w:pPr>
        <w:numPr>
          <w:ilvl w:val="0"/>
          <w:numId w:val="4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 xml:space="preserve">5,0 млн. </w:t>
      </w:r>
      <w:proofErr w:type="spellStart"/>
      <w:r w:rsidRPr="00E9020A">
        <w:rPr>
          <w:rFonts w:eastAsia="Times New Roman"/>
          <w:sz w:val="30"/>
          <w:szCs w:val="30"/>
          <w:lang w:eastAsia="ru-RU"/>
        </w:rPr>
        <w:t>бел</w:t>
      </w:r>
      <w:proofErr w:type="gramStart"/>
      <w:r w:rsidRPr="00E9020A">
        <w:rPr>
          <w:rFonts w:eastAsia="Times New Roman"/>
          <w:sz w:val="30"/>
          <w:szCs w:val="30"/>
          <w:lang w:eastAsia="ru-RU"/>
        </w:rPr>
        <w:t>.р</w:t>
      </w:r>
      <w:proofErr w:type="gramEnd"/>
      <w:r w:rsidRPr="00E9020A">
        <w:rPr>
          <w:rFonts w:eastAsia="Times New Roman"/>
          <w:sz w:val="30"/>
          <w:szCs w:val="30"/>
          <w:lang w:eastAsia="ru-RU"/>
        </w:rPr>
        <w:t>уб</w:t>
      </w:r>
      <w:proofErr w:type="spellEnd"/>
      <w:r w:rsidRPr="00E9020A">
        <w:rPr>
          <w:rFonts w:eastAsia="Times New Roman"/>
          <w:sz w:val="30"/>
          <w:szCs w:val="30"/>
          <w:lang w:eastAsia="ru-RU"/>
        </w:rPr>
        <w:t>.</w:t>
      </w:r>
    </w:p>
    <w:p w:rsidR="00C84789" w:rsidRDefault="00C84789" w:rsidP="00C84789">
      <w:pPr>
        <w:spacing w:after="0" w:line="240" w:lineRule="auto"/>
        <w:jc w:val="both"/>
        <w:textAlignment w:val="top"/>
        <w:rPr>
          <w:rFonts w:eastAsia="Times New Roman"/>
          <w:i/>
          <w:iCs/>
          <w:sz w:val="30"/>
          <w:szCs w:val="30"/>
          <w:lang w:eastAsia="ru-RU"/>
        </w:rPr>
      </w:pPr>
    </w:p>
    <w:p w:rsidR="00E9020A" w:rsidRPr="00E9020A" w:rsidRDefault="00E9020A" w:rsidP="00C84789">
      <w:pPr>
        <w:spacing w:after="0" w:line="240" w:lineRule="auto"/>
        <w:jc w:val="both"/>
        <w:textAlignment w:val="top"/>
        <w:rPr>
          <w:rFonts w:eastAsia="Times New Roman"/>
          <w:sz w:val="30"/>
          <w:szCs w:val="30"/>
          <w:u w:val="single"/>
          <w:lang w:eastAsia="ru-RU"/>
        </w:rPr>
      </w:pPr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 xml:space="preserve">Доля собственного участия в проекте (в расчет доли участия собственными средствами могут приниматься средства, собранные на </w:t>
      </w:r>
      <w:proofErr w:type="spellStart"/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>краудфандинговых</w:t>
      </w:r>
      <w:proofErr w:type="spellEnd"/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 xml:space="preserve"> площадках):</w:t>
      </w:r>
    </w:p>
    <w:p w:rsidR="00E9020A" w:rsidRPr="00E9020A" w:rsidRDefault="00E9020A" w:rsidP="00C84789">
      <w:pPr>
        <w:numPr>
          <w:ilvl w:val="0"/>
          <w:numId w:val="5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не менее 10 %.</w:t>
      </w:r>
    </w:p>
    <w:p w:rsidR="00C84789" w:rsidRDefault="00C84789" w:rsidP="00C84789">
      <w:pPr>
        <w:spacing w:after="0" w:line="240" w:lineRule="auto"/>
        <w:jc w:val="both"/>
        <w:textAlignment w:val="top"/>
        <w:rPr>
          <w:rFonts w:eastAsia="Times New Roman"/>
          <w:i/>
          <w:iCs/>
          <w:sz w:val="30"/>
          <w:szCs w:val="30"/>
          <w:lang w:eastAsia="ru-RU"/>
        </w:rPr>
      </w:pPr>
    </w:p>
    <w:p w:rsidR="00E9020A" w:rsidRPr="00E9020A" w:rsidRDefault="00E9020A" w:rsidP="00C84789">
      <w:pPr>
        <w:spacing w:after="0" w:line="240" w:lineRule="auto"/>
        <w:jc w:val="both"/>
        <w:textAlignment w:val="top"/>
        <w:rPr>
          <w:rFonts w:eastAsia="Times New Roman"/>
          <w:sz w:val="30"/>
          <w:szCs w:val="30"/>
          <w:u w:val="single"/>
          <w:lang w:eastAsia="ru-RU"/>
        </w:rPr>
      </w:pPr>
      <w:r w:rsidRPr="00E9020A">
        <w:rPr>
          <w:rFonts w:eastAsia="Times New Roman"/>
          <w:i/>
          <w:iCs/>
          <w:sz w:val="30"/>
          <w:szCs w:val="30"/>
          <w:u w:val="single"/>
          <w:lang w:eastAsia="ru-RU"/>
        </w:rPr>
        <w:t>Максимальный срок финансирования:</w:t>
      </w:r>
    </w:p>
    <w:p w:rsidR="00E9020A" w:rsidRPr="00E9020A" w:rsidRDefault="00E9020A" w:rsidP="00C84789">
      <w:pPr>
        <w:numPr>
          <w:ilvl w:val="0"/>
          <w:numId w:val="6"/>
        </w:numPr>
        <w:spacing w:after="0" w:line="240" w:lineRule="auto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r w:rsidRPr="00E9020A">
        <w:rPr>
          <w:rFonts w:eastAsia="Times New Roman"/>
          <w:sz w:val="30"/>
          <w:szCs w:val="30"/>
          <w:lang w:eastAsia="ru-RU"/>
        </w:rPr>
        <w:t>не ограничен.</w:t>
      </w:r>
    </w:p>
    <w:p w:rsidR="00E9020A" w:rsidRPr="00C84789" w:rsidRDefault="00E9020A" w:rsidP="00C84789">
      <w:pPr>
        <w:spacing w:after="0" w:line="240" w:lineRule="auto"/>
        <w:jc w:val="center"/>
        <w:textAlignment w:val="top"/>
        <w:rPr>
          <w:rFonts w:eastAsia="Times New Roman"/>
          <w:b/>
          <w:sz w:val="40"/>
          <w:szCs w:val="40"/>
          <w:lang w:eastAsia="ru-RU"/>
        </w:rPr>
      </w:pPr>
      <w:r w:rsidRPr="00E9020A">
        <w:rPr>
          <w:rFonts w:eastAsia="Times New Roman"/>
          <w:b/>
          <w:sz w:val="40"/>
          <w:szCs w:val="40"/>
          <w:lang w:eastAsia="ru-RU"/>
        </w:rPr>
        <w:lastRenderedPageBreak/>
        <w:t>Для получения финансовой поддержки в рамках программы субъект МСП должен соответствовать следующим критериям:</w:t>
      </w:r>
    </w:p>
    <w:p w:rsidR="00C84789" w:rsidRPr="00E9020A" w:rsidRDefault="00C84789" w:rsidP="00C84789">
      <w:pPr>
        <w:spacing w:after="0" w:line="240" w:lineRule="auto"/>
        <w:jc w:val="both"/>
        <w:textAlignment w:val="top"/>
        <w:rPr>
          <w:rFonts w:eastAsia="Times New Roman"/>
          <w:sz w:val="30"/>
          <w:szCs w:val="30"/>
          <w:lang w:eastAsia="ru-RU"/>
        </w:rPr>
      </w:pPr>
    </w:p>
    <w:tbl>
      <w:tblPr>
        <w:tblW w:w="15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8"/>
        <w:gridCol w:w="2916"/>
        <w:gridCol w:w="2416"/>
        <w:gridCol w:w="2386"/>
        <w:gridCol w:w="4256"/>
      </w:tblGrid>
      <w:tr w:rsidR="00E9020A" w:rsidRPr="00E9020A" w:rsidTr="00C84789">
        <w:trPr>
          <w:jc w:val="center"/>
        </w:trPr>
        <w:tc>
          <w:tcPr>
            <w:tcW w:w="3148" w:type="dxa"/>
            <w:vMerge w:val="restart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Критерии отбора субъектов МСП</w:t>
            </w:r>
          </w:p>
        </w:tc>
        <w:tc>
          <w:tcPr>
            <w:tcW w:w="11974" w:type="dxa"/>
            <w:gridSpan w:val="4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Значение критерия</w:t>
            </w:r>
          </w:p>
        </w:tc>
      </w:tr>
      <w:tr w:rsidR="00E9020A" w:rsidRPr="00E9020A" w:rsidTr="00C84789">
        <w:trPr>
          <w:jc w:val="center"/>
        </w:trPr>
        <w:tc>
          <w:tcPr>
            <w:tcW w:w="3148" w:type="dxa"/>
            <w:vMerge/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ИП</w:t>
            </w:r>
          </w:p>
        </w:tc>
        <w:tc>
          <w:tcPr>
            <w:tcW w:w="241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9020A">
              <w:rPr>
                <w:rFonts w:eastAsia="Times New Roman"/>
                <w:lang w:eastAsia="ru-RU"/>
              </w:rPr>
              <w:t>Микрооргани-зация</w:t>
            </w:r>
            <w:proofErr w:type="spellEnd"/>
          </w:p>
        </w:tc>
        <w:tc>
          <w:tcPr>
            <w:tcW w:w="238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Малая организация</w:t>
            </w:r>
          </w:p>
        </w:tc>
        <w:tc>
          <w:tcPr>
            <w:tcW w:w="425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C84789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Субъект среднего предпринима</w:t>
            </w:r>
            <w:r w:rsidR="00E9020A" w:rsidRPr="00E9020A">
              <w:rPr>
                <w:rFonts w:eastAsia="Times New Roman"/>
                <w:lang w:eastAsia="ru-RU"/>
              </w:rPr>
              <w:t>тельства</w:t>
            </w:r>
          </w:p>
        </w:tc>
      </w:tr>
      <w:tr w:rsidR="00E9020A" w:rsidRPr="00E9020A" w:rsidTr="00C84789">
        <w:trPr>
          <w:trHeight w:val="1192"/>
          <w:jc w:val="center"/>
        </w:trPr>
        <w:tc>
          <w:tcPr>
            <w:tcW w:w="3148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Средняя численность работников за предыдущий календарный год</w:t>
            </w:r>
          </w:p>
        </w:tc>
        <w:tc>
          <w:tcPr>
            <w:tcW w:w="291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в соответствии с законодательством</w:t>
            </w:r>
          </w:p>
        </w:tc>
        <w:tc>
          <w:tcPr>
            <w:tcW w:w="241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до 15 человек включительно</w:t>
            </w:r>
          </w:p>
        </w:tc>
        <w:tc>
          <w:tcPr>
            <w:tcW w:w="238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от 16 до 100 человек включительно</w:t>
            </w:r>
          </w:p>
        </w:tc>
        <w:tc>
          <w:tcPr>
            <w:tcW w:w="4256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от 101 до 250 человек включительно</w:t>
            </w:r>
          </w:p>
        </w:tc>
      </w:tr>
      <w:tr w:rsidR="00E9020A" w:rsidRPr="00E9020A" w:rsidTr="00C84789">
        <w:trPr>
          <w:jc w:val="center"/>
        </w:trPr>
        <w:tc>
          <w:tcPr>
            <w:tcW w:w="3148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Объем выручки от реализации продукции, товаров, работ, услуг (без учета НДС) за предыдущий календарный год</w:t>
            </w:r>
          </w:p>
        </w:tc>
        <w:tc>
          <w:tcPr>
            <w:tcW w:w="11974" w:type="dxa"/>
            <w:gridSpan w:val="4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не более 25 млн. белорусских рублей</w:t>
            </w:r>
          </w:p>
        </w:tc>
      </w:tr>
      <w:tr w:rsidR="00E9020A" w:rsidRPr="00E9020A" w:rsidTr="00C84789">
        <w:trPr>
          <w:jc w:val="center"/>
        </w:trPr>
        <w:tc>
          <w:tcPr>
            <w:tcW w:w="3148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 xml:space="preserve">Юридическое лицо является коммерческой организацией - резидентом Республики </w:t>
            </w:r>
            <w:r w:rsidRPr="00E9020A">
              <w:rPr>
                <w:rFonts w:eastAsia="Times New Roman"/>
                <w:lang w:eastAsia="ru-RU"/>
              </w:rPr>
              <w:lastRenderedPageBreak/>
              <w:t>Беларусь</w:t>
            </w:r>
          </w:p>
        </w:tc>
        <w:tc>
          <w:tcPr>
            <w:tcW w:w="11974" w:type="dxa"/>
            <w:gridSpan w:val="4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lastRenderedPageBreak/>
              <w:t>доля в уставном фонде Субъекта МСП, принадлежащая Республике Беларусь, ее административно-территориальным единицам, не должна превышать 25%;</w:t>
            </w:r>
          </w:p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суммарная доля собственности нерезидентов Республики Беларусь не более чем 49% уставного фонда Субъекта МСП;</w:t>
            </w:r>
          </w:p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proofErr w:type="gramStart"/>
            <w:r w:rsidRPr="00E9020A">
              <w:rPr>
                <w:rFonts w:eastAsia="Times New Roman"/>
                <w:lang w:eastAsia="ru-RU"/>
              </w:rPr>
              <w:t xml:space="preserve">имеет положительную кредитную историю (в случае наличия кредитной истории), оцененную по данным за последние 12 месяцев (допускается наличие факта (фактов) </w:t>
            </w:r>
            <w:r w:rsidRPr="00E9020A">
              <w:rPr>
                <w:rFonts w:eastAsia="Times New Roman"/>
                <w:lang w:eastAsia="ru-RU"/>
              </w:rPr>
              <w:lastRenderedPageBreak/>
              <w:t>просроченной задолженности по основному долгу и (или) процентам общей суммарной продолжительностью не более 30 календарных дней за последние 12 месяцев);</w:t>
            </w:r>
            <w:proofErr w:type="gramEnd"/>
          </w:p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не имеет просроченной задолженности по обязательствам кредитного характера перед банками, в том числе перед ОАО "Банк развития Республики Беларусь";</w:t>
            </w:r>
          </w:p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является независимым. Субъект МСП не признается независимым, если 25% и более его уставного фонда принадлежит юридическому лицу, которое не удовлетворяет критериям классификации Субъекта МСП;</w:t>
            </w:r>
          </w:p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не находится в процессе реорганизации, ликвидации (прекращения деятельности), экономической несостоятельности (банкротства);</w:t>
            </w:r>
          </w:p>
          <w:p w:rsidR="00E9020A" w:rsidRPr="00E9020A" w:rsidRDefault="00E9020A" w:rsidP="00C84789">
            <w:pPr>
              <w:numPr>
                <w:ilvl w:val="0"/>
                <w:numId w:val="7"/>
              </w:numPr>
              <w:spacing w:after="0" w:line="240" w:lineRule="auto"/>
              <w:ind w:left="750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Субъекты МСП: основной вид экономической деятельности относится к секциям</w:t>
            </w:r>
            <w:proofErr w:type="gramStart"/>
            <w:r w:rsidRPr="00E9020A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E9020A">
              <w:rPr>
                <w:rFonts w:eastAsia="Times New Roman"/>
                <w:lang w:eastAsia="ru-RU"/>
              </w:rPr>
              <w:t xml:space="preserve"> – B, секции С (за исключением классов 1101-1106; </w:t>
            </w:r>
            <w:proofErr w:type="gramStart"/>
            <w:r w:rsidRPr="00E9020A">
              <w:rPr>
                <w:rFonts w:eastAsia="Times New Roman"/>
                <w:lang w:eastAsia="ru-RU"/>
              </w:rPr>
              <w:t xml:space="preserve">раздела 12), секциям D – F, подклассам 45112, 45192, 45320, 45402, 45403, группе 452, разделу 47 (за исключением подклассов 47251, 47260) секции G, секциям H – J, секции М (за исключением подклассов 69101, 69102, 70100), разделам 78-82 секции N, секциям P – Q, секции R (за исключением раздела 92), разделам 95-96 секции S, согласно ОКЭД и/или вид экономической деятельности для реализации </w:t>
            </w:r>
            <w:proofErr w:type="spellStart"/>
            <w:r w:rsidRPr="00E9020A">
              <w:rPr>
                <w:rFonts w:eastAsia="Times New Roman"/>
                <w:lang w:eastAsia="ru-RU"/>
              </w:rPr>
              <w:t>Субпроекта</w:t>
            </w:r>
            <w:proofErr w:type="spellEnd"/>
            <w:proofErr w:type="gramEnd"/>
            <w:r w:rsidRPr="00E9020A">
              <w:rPr>
                <w:rFonts w:eastAsia="Times New Roman"/>
                <w:lang w:eastAsia="ru-RU"/>
              </w:rPr>
              <w:t xml:space="preserve"> относится к секциям</w:t>
            </w:r>
            <w:proofErr w:type="gramStart"/>
            <w:r w:rsidRPr="00E9020A">
              <w:rPr>
                <w:rFonts w:eastAsia="Times New Roman"/>
                <w:lang w:eastAsia="ru-RU"/>
              </w:rPr>
              <w:t xml:space="preserve"> А</w:t>
            </w:r>
            <w:proofErr w:type="gramEnd"/>
            <w:r w:rsidRPr="00E9020A">
              <w:rPr>
                <w:rFonts w:eastAsia="Times New Roman"/>
                <w:lang w:eastAsia="ru-RU"/>
              </w:rPr>
              <w:t xml:space="preserve"> – B, секции С (за исключением классов 1101-1106; </w:t>
            </w:r>
            <w:proofErr w:type="gramStart"/>
            <w:r w:rsidRPr="00E9020A">
              <w:rPr>
                <w:rFonts w:eastAsia="Times New Roman"/>
                <w:lang w:eastAsia="ru-RU"/>
              </w:rPr>
              <w:t>раздела 12), секциям D – F, подклассам 45112, 45192, 45320, 45402, 45403, группе 452, разделу 47 (за исключением подклассов 47251, 47260) секции G, секциям H – J, секции М (за исключением подклассов 69101, 69102, 70100), разделам 78-82 секции N, секциям P – Q, секции R (за исключением раздела 92), разделам 95-96 секции S, согласно ОКЭД.</w:t>
            </w:r>
            <w:proofErr w:type="gramEnd"/>
          </w:p>
        </w:tc>
      </w:tr>
      <w:tr w:rsidR="00E9020A" w:rsidRPr="00E9020A" w:rsidTr="00C84789">
        <w:trPr>
          <w:jc w:val="center"/>
        </w:trPr>
        <w:tc>
          <w:tcPr>
            <w:tcW w:w="3148" w:type="dxa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C84789" w:rsidP="00C847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Дополнитель</w:t>
            </w:r>
            <w:r w:rsidR="00E9020A" w:rsidRPr="00E9020A">
              <w:rPr>
                <w:rFonts w:eastAsia="Times New Roman"/>
                <w:lang w:eastAsia="ru-RU"/>
              </w:rPr>
              <w:t>ные условия</w:t>
            </w:r>
          </w:p>
        </w:tc>
        <w:tc>
          <w:tcPr>
            <w:tcW w:w="11974" w:type="dxa"/>
            <w:gridSpan w:val="4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:rsidR="00E9020A" w:rsidRPr="00E9020A" w:rsidRDefault="00E9020A" w:rsidP="00C847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020A">
              <w:rPr>
                <w:rFonts w:eastAsia="Times New Roman"/>
                <w:lang w:eastAsia="ru-RU"/>
              </w:rPr>
              <w:t>Кредитные ресурсы предоставляются субъектам МСП, осуществляющим деятельность в производственной, торговой сфере и сфере услуг, зарегистрированным и осуществляющим деятельность на территории юго-восточного региона Могилевской области, а также Оршанского района Витебской области.</w:t>
            </w:r>
          </w:p>
        </w:tc>
      </w:tr>
    </w:tbl>
    <w:p w:rsidR="00653125" w:rsidRDefault="00653125" w:rsidP="00C84789">
      <w:pPr>
        <w:spacing w:before="180" w:after="180" w:line="330" w:lineRule="atLeast"/>
        <w:ind w:left="426"/>
        <w:jc w:val="both"/>
        <w:textAlignment w:val="top"/>
        <w:rPr>
          <w:rFonts w:eastAsia="Times New Roman"/>
          <w:sz w:val="30"/>
          <w:szCs w:val="30"/>
          <w:lang w:eastAsia="ru-RU"/>
        </w:rPr>
      </w:pPr>
    </w:p>
    <w:p w:rsidR="00653125" w:rsidRDefault="00653125" w:rsidP="00C84789">
      <w:pPr>
        <w:spacing w:before="180" w:after="180" w:line="330" w:lineRule="atLeast"/>
        <w:ind w:left="426"/>
        <w:jc w:val="both"/>
        <w:textAlignment w:val="top"/>
        <w:rPr>
          <w:rFonts w:eastAsia="Times New Roman"/>
          <w:sz w:val="30"/>
          <w:szCs w:val="30"/>
          <w:lang w:eastAsia="ru-RU"/>
        </w:rPr>
      </w:pPr>
    </w:p>
    <w:p w:rsidR="00653125" w:rsidRDefault="00653125" w:rsidP="00C84789">
      <w:pPr>
        <w:spacing w:before="180" w:after="180" w:line="330" w:lineRule="atLeast"/>
        <w:ind w:left="426"/>
        <w:jc w:val="both"/>
        <w:textAlignment w:val="top"/>
        <w:rPr>
          <w:rFonts w:eastAsia="Times New Roman"/>
          <w:sz w:val="30"/>
          <w:szCs w:val="30"/>
          <w:lang w:eastAsia="ru-RU"/>
        </w:rPr>
      </w:pPr>
    </w:p>
    <w:p w:rsidR="00E9020A" w:rsidRPr="00E9020A" w:rsidRDefault="00E9020A" w:rsidP="00C84789">
      <w:pPr>
        <w:spacing w:before="180" w:after="180" w:line="330" w:lineRule="atLeast"/>
        <w:ind w:left="426"/>
        <w:jc w:val="both"/>
        <w:textAlignment w:val="top"/>
        <w:rPr>
          <w:rFonts w:eastAsia="Times New Roman"/>
          <w:b/>
          <w:sz w:val="30"/>
          <w:szCs w:val="30"/>
          <w:u w:val="single"/>
          <w:lang w:eastAsia="ru-RU"/>
        </w:rPr>
      </w:pPr>
      <w:r w:rsidRPr="00E9020A">
        <w:rPr>
          <w:rFonts w:eastAsia="Times New Roman"/>
          <w:b/>
          <w:sz w:val="30"/>
          <w:szCs w:val="30"/>
          <w:u w:val="single"/>
          <w:lang w:eastAsia="ru-RU"/>
        </w:rPr>
        <w:lastRenderedPageBreak/>
        <w:t>Непосредственное предоставление субъекту МСП кредитных ресурсов в рамках программы осуществляется банками-партнерами:</w:t>
      </w:r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5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"Белгазпромбанк";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6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ЗАО "</w:t>
        </w:r>
        <w:proofErr w:type="spellStart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МТБанк</w:t>
        </w:r>
        <w:proofErr w:type="spellEnd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";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7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</w:t>
        </w:r>
        <w:proofErr w:type="spellStart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Белинвестбанк</w:t>
        </w:r>
        <w:proofErr w:type="spellEnd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"</w:t>
        </w:r>
      </w:hyperlink>
      <w:r w:rsidRPr="00E9020A">
        <w:rPr>
          <w:rFonts w:eastAsia="Times New Roman"/>
          <w:sz w:val="30"/>
          <w:szCs w:val="30"/>
          <w:lang w:eastAsia="ru-RU"/>
        </w:rPr>
        <w:t>;</w:t>
      </w:r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8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"АСБ "Беларусбанк";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9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"Белагропромбанк"</w:t>
        </w:r>
        <w:proofErr w:type="gramStart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 xml:space="preserve"> .</w:t>
        </w:r>
        <w:proofErr w:type="gramEnd"/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10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"</w:t>
        </w:r>
        <w:proofErr w:type="spellStart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Приорбанк</w:t>
        </w:r>
        <w:proofErr w:type="spellEnd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" ОАО;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11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</w:t>
        </w:r>
        <w:proofErr w:type="spellStart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БНБ-Банк</w:t>
        </w:r>
        <w:proofErr w:type="spellEnd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";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12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ЗАО "Альфа-Банк";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13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"Банк Москва-Минск";</w:t>
        </w:r>
      </w:hyperlink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14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ОАО "</w:t>
        </w:r>
        <w:proofErr w:type="spellStart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Паритетбанк</w:t>
        </w:r>
        <w:proofErr w:type="spellEnd"/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"</w:t>
        </w:r>
      </w:hyperlink>
      <w:r w:rsidRPr="00E9020A">
        <w:rPr>
          <w:rFonts w:eastAsia="Times New Roman"/>
          <w:sz w:val="30"/>
          <w:szCs w:val="30"/>
          <w:lang w:eastAsia="ru-RU"/>
        </w:rPr>
        <w:t>;</w:t>
      </w:r>
    </w:p>
    <w:p w:rsidR="00E9020A" w:rsidRPr="00E9020A" w:rsidRDefault="00E9020A" w:rsidP="00E9020A">
      <w:pPr>
        <w:numPr>
          <w:ilvl w:val="0"/>
          <w:numId w:val="8"/>
        </w:numPr>
        <w:spacing w:before="180" w:after="180" w:line="330" w:lineRule="atLeast"/>
        <w:ind w:left="750"/>
        <w:jc w:val="both"/>
        <w:textAlignment w:val="top"/>
        <w:rPr>
          <w:rFonts w:eastAsia="Times New Roman"/>
          <w:sz w:val="30"/>
          <w:szCs w:val="30"/>
          <w:lang w:eastAsia="ru-RU"/>
        </w:rPr>
      </w:pPr>
      <w:hyperlink r:id="rId15" w:history="1">
        <w:r w:rsidRPr="00C84789">
          <w:rPr>
            <w:rFonts w:eastAsia="Times New Roman"/>
            <w:sz w:val="30"/>
            <w:szCs w:val="30"/>
            <w:u w:val="single"/>
            <w:lang w:eastAsia="ru-RU"/>
          </w:rPr>
          <w:t>ЗАО "БТА Банк"</w:t>
        </w:r>
      </w:hyperlink>
      <w:r w:rsidRPr="00E9020A">
        <w:rPr>
          <w:rFonts w:eastAsia="Times New Roman"/>
          <w:sz w:val="30"/>
          <w:szCs w:val="30"/>
          <w:lang w:eastAsia="ru-RU"/>
        </w:rPr>
        <w:t>.</w:t>
      </w:r>
    </w:p>
    <w:p w:rsidR="00653125" w:rsidRDefault="00653125" w:rsidP="00E9020A">
      <w:pPr>
        <w:spacing w:before="180" w:after="180" w:line="330" w:lineRule="atLeast"/>
        <w:jc w:val="both"/>
        <w:textAlignment w:val="top"/>
        <w:rPr>
          <w:rFonts w:eastAsia="Times New Roman"/>
          <w:sz w:val="30"/>
          <w:szCs w:val="30"/>
          <w:lang w:eastAsia="ru-RU"/>
        </w:rPr>
      </w:pPr>
    </w:p>
    <w:p w:rsidR="00E9020A" w:rsidRPr="00E9020A" w:rsidRDefault="00653125" w:rsidP="00E9020A">
      <w:pPr>
        <w:spacing w:before="180" w:after="180" w:line="330" w:lineRule="atLeast"/>
        <w:jc w:val="both"/>
        <w:textAlignment w:val="top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Примечание: </w:t>
      </w:r>
      <w:r w:rsidR="00E9020A" w:rsidRPr="00E9020A">
        <w:rPr>
          <w:rFonts w:eastAsia="Times New Roman"/>
          <w:i/>
          <w:sz w:val="24"/>
          <w:szCs w:val="24"/>
          <w:lang w:eastAsia="ru-RU"/>
        </w:rPr>
        <w:t>ОКЭД – Общегосударственный классификатор Республики Беларусь «Виды экономической деятельности»</w:t>
      </w:r>
    </w:p>
    <w:sectPr w:rsidR="00E9020A" w:rsidRPr="00E9020A" w:rsidSect="00653125">
      <w:pgSz w:w="16838" w:h="11906" w:orient="landscape"/>
      <w:pgMar w:top="851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FCB"/>
    <w:multiLevelType w:val="multilevel"/>
    <w:tmpl w:val="40B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3C92"/>
    <w:multiLevelType w:val="multilevel"/>
    <w:tmpl w:val="984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36B0A"/>
    <w:multiLevelType w:val="multilevel"/>
    <w:tmpl w:val="4292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711F"/>
    <w:multiLevelType w:val="multilevel"/>
    <w:tmpl w:val="0AF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2C4B"/>
    <w:multiLevelType w:val="hybridMultilevel"/>
    <w:tmpl w:val="F30C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03C55"/>
    <w:multiLevelType w:val="multilevel"/>
    <w:tmpl w:val="A5B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C0A90"/>
    <w:multiLevelType w:val="multilevel"/>
    <w:tmpl w:val="F46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07D61"/>
    <w:multiLevelType w:val="multilevel"/>
    <w:tmpl w:val="675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165D3"/>
    <w:multiLevelType w:val="multilevel"/>
    <w:tmpl w:val="561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020A"/>
    <w:rsid w:val="0006083F"/>
    <w:rsid w:val="005222ED"/>
    <w:rsid w:val="00610C16"/>
    <w:rsid w:val="00653125"/>
    <w:rsid w:val="006C0F21"/>
    <w:rsid w:val="009A585F"/>
    <w:rsid w:val="00C84789"/>
    <w:rsid w:val="00CA43F6"/>
    <w:rsid w:val="00CE06BC"/>
    <w:rsid w:val="00D52A8E"/>
    <w:rsid w:val="00DB2DED"/>
    <w:rsid w:val="00E4005E"/>
    <w:rsid w:val="00E842FA"/>
    <w:rsid w:val="00E9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3F"/>
  </w:style>
  <w:style w:type="paragraph" w:styleId="1">
    <w:name w:val="heading 1"/>
    <w:basedOn w:val="a"/>
    <w:link w:val="10"/>
    <w:uiPriority w:val="9"/>
    <w:qFormat/>
    <w:rsid w:val="00E902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20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020A"/>
  </w:style>
  <w:style w:type="character" w:styleId="a3">
    <w:name w:val="Hyperlink"/>
    <w:basedOn w:val="a0"/>
    <w:uiPriority w:val="99"/>
    <w:semiHidden/>
    <w:unhideWhenUsed/>
    <w:rsid w:val="00E902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2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3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arusbank.by/" TargetMode="External"/><Relationship Id="rId13" Type="http://schemas.openxmlformats.org/officeDocument/2006/relationships/hyperlink" Target="http://www.mmbank.by/business/credit/krediti/programmi_finansirovanija_ma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investbank.by/corporate-clients/credits/small_and_medium_business/program_razvitiya.php" TargetMode="External"/><Relationship Id="rId12" Type="http://schemas.openxmlformats.org/officeDocument/2006/relationships/hyperlink" Target="http://alfa-biz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tbank.by/smallbusiness/lending/~show/kreditnyeprogrammy" TargetMode="External"/><Relationship Id="rId11" Type="http://schemas.openxmlformats.org/officeDocument/2006/relationships/hyperlink" Target="http://www.bnb.by/yuridicheskim-litsam/produkty-i-uslugi/kreditnye-operatsii.html" TargetMode="External"/><Relationship Id="rId5" Type="http://schemas.openxmlformats.org/officeDocument/2006/relationships/hyperlink" Target="http://belgazprombank.by/malomu_i_srednemu_biznesu/finansirovanie_biznes/credits_msb/special_nie_programmi_kreditovanija/credit_msb_bankrazvitiya_rb/" TargetMode="External"/><Relationship Id="rId15" Type="http://schemas.openxmlformats.org/officeDocument/2006/relationships/hyperlink" Target="http://btabank.by/ru/page/business/1978" TargetMode="External"/><Relationship Id="rId10" Type="http://schemas.openxmlformats.org/officeDocument/2006/relationships/hyperlink" Target="http://www.priorbank.by/finansirovanie-bizne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apb.by/cms/images/%20%D0%BC%D0%B0%D0%BB%D0%BE%D0%B3%D0%BE%20%D0%B8%20%D1%81%D1%80%D0%B5%D0%B4%D0%BD%D0%B5%D0%B3%D0%BE_%D0%922-2017_2.jpg" TargetMode="External"/><Relationship Id="rId14" Type="http://schemas.openxmlformats.org/officeDocument/2006/relationships/hyperlink" Target="http://www.paritetbank.by/services/organization/programma_s_brr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Федоровна</dc:creator>
  <cp:keywords/>
  <dc:description/>
  <cp:lastModifiedBy>Иванова Оксана Федоровна</cp:lastModifiedBy>
  <cp:revision>2</cp:revision>
  <dcterms:created xsi:type="dcterms:W3CDTF">2019-10-08T12:14:00Z</dcterms:created>
  <dcterms:modified xsi:type="dcterms:W3CDTF">2019-10-08T12:14:00Z</dcterms:modified>
</cp:coreProperties>
</file>