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9B" w:rsidRDefault="00D87430" w:rsidP="00D87430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>В</w:t>
      </w:r>
      <w:r w:rsidR="00584A9B" w:rsidRPr="00584A9B"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 xml:space="preserve"> структуре заработной платы бюджетников увеличивается доля премирования</w:t>
      </w:r>
      <w:r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 xml:space="preserve"> с</w:t>
      </w:r>
      <w:r w:rsidRPr="00584A9B"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 xml:space="preserve"> 1 июля</w:t>
      </w:r>
      <w:r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  <w:t xml:space="preserve"> 2021 года</w:t>
      </w:r>
    </w:p>
    <w:p w:rsidR="0058342B" w:rsidRPr="00584A9B" w:rsidRDefault="0058342B" w:rsidP="00584A9B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color w:val="001E69"/>
          <w:sz w:val="24"/>
          <w:szCs w:val="24"/>
          <w:lang w:eastAsia="ru-RU"/>
        </w:rPr>
      </w:pPr>
    </w:p>
    <w:p w:rsidR="00584A9B" w:rsidRPr="00584A9B" w:rsidRDefault="00584A9B" w:rsidP="00584A9B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 соответствии с Указом Президента Республики Беларусь от 22 декабря 2020 г. № 482 </w:t>
      </w:r>
      <w:proofErr w:type="spellStart"/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c</w:t>
      </w:r>
      <w:proofErr w:type="spellEnd"/>
      <w:r w:rsidR="0058342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       </w:t>
      </w:r>
      <w:r w:rsidRPr="00584A9B">
        <w:rPr>
          <w:rFonts w:ascii="Tahoma" w:eastAsia="Times New Roman" w:hAnsi="Tahoma" w:cs="Tahoma"/>
          <w:b/>
          <w:bCs/>
          <w:color w:val="1C42FF"/>
          <w:sz w:val="21"/>
          <w:szCs w:val="21"/>
          <w:lang w:eastAsia="ru-RU"/>
        </w:rPr>
        <w:t>1 июля текущего года меняются подходы по премированию работников бюджетных организаций.</w:t>
      </w:r>
    </w:p>
    <w:p w:rsidR="00584A9B" w:rsidRPr="00584A9B" w:rsidRDefault="00584A9B" w:rsidP="00584A9B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84A9B" w:rsidRPr="00584A9B" w:rsidRDefault="00584A9B" w:rsidP="00584A9B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А именно, с 1 июля 2021 г.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b/>
          <w:bCs/>
          <w:color w:val="1C3AFF"/>
          <w:sz w:val="21"/>
          <w:szCs w:val="21"/>
          <w:lang w:eastAsia="ru-RU"/>
        </w:rPr>
        <w:t xml:space="preserve">объем ресурсов на премирование будет </w:t>
      </w:r>
      <w:proofErr w:type="gramStart"/>
      <w:r w:rsidRPr="00584A9B">
        <w:rPr>
          <w:rFonts w:ascii="Tahoma" w:eastAsia="Times New Roman" w:hAnsi="Tahoma" w:cs="Tahoma"/>
          <w:b/>
          <w:bCs/>
          <w:color w:val="1C3AFF"/>
          <w:sz w:val="21"/>
          <w:szCs w:val="21"/>
          <w:lang w:eastAsia="ru-RU"/>
        </w:rPr>
        <w:t>формироваться и направляться</w:t>
      </w:r>
      <w:proofErr w:type="gramEnd"/>
      <w:r w:rsidRPr="00584A9B">
        <w:rPr>
          <w:rFonts w:ascii="Tahoma" w:eastAsia="Times New Roman" w:hAnsi="Tahoma" w:cs="Tahoma"/>
          <w:b/>
          <w:bCs/>
          <w:color w:val="1C3AFF"/>
          <w:sz w:val="21"/>
          <w:szCs w:val="21"/>
          <w:lang w:eastAsia="ru-RU"/>
        </w:rPr>
        <w:t xml:space="preserve"> в размере 20 процентов от суммы окладов работников бюджетных организаций</w:t>
      </w:r>
      <w:r w:rsidRPr="00584A9B">
        <w:rPr>
          <w:rFonts w:ascii="Tahoma" w:eastAsia="Times New Roman" w:hAnsi="Tahoma" w:cs="Tahoma"/>
          <w:b/>
          <w:bCs/>
          <w:color w:val="1C3AF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(ранее – 5 процентов).</w:t>
      </w:r>
    </w:p>
    <w:p w:rsidR="00584A9B" w:rsidRPr="00584A9B" w:rsidRDefault="00584A9B" w:rsidP="00584A9B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84A9B" w:rsidRPr="0058342B" w:rsidRDefault="0058342B" w:rsidP="00584A9B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ab/>
      </w:r>
      <w:r w:rsidR="00584A9B" w:rsidRPr="00584A9B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Внимание!</w:t>
      </w:r>
      <w:r w:rsidR="00584A9B"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="00584A9B" w:rsidRPr="0058342B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Принятое изменение</w:t>
      </w:r>
      <w:r w:rsidR="00584A9B" w:rsidRPr="0058342B">
        <w:rPr>
          <w:rFonts w:ascii="Tahoma" w:eastAsia="Times New Roman" w:hAnsi="Tahoma" w:cs="Tahoma"/>
          <w:color w:val="FF0000"/>
          <w:sz w:val="21"/>
          <w:lang w:eastAsia="ru-RU"/>
        </w:rPr>
        <w:t> </w:t>
      </w:r>
      <w:r w:rsidR="00584A9B" w:rsidRPr="0058342B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 xml:space="preserve">не направлено на увеличение зарплаты 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ab/>
      </w:r>
      <w:r w:rsidR="00584A9B" w:rsidRPr="0058342B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бюджетников.</w:t>
      </w:r>
    </w:p>
    <w:p w:rsidR="00584A9B" w:rsidRPr="00584A9B" w:rsidRDefault="00584A9B" w:rsidP="00584A9B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84A9B" w:rsidRPr="00584A9B" w:rsidRDefault="00584A9B" w:rsidP="00584A9B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Увеличение премии произойдет исключительно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в </w:t>
      </w:r>
      <w:proofErr w:type="gramStart"/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пределах</w:t>
      </w:r>
      <w:proofErr w:type="gramEnd"/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 выделенных на текущий год бюджетных ассигнований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 оплату труда. То есть произойдет перераспределение между ее элементами за счет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корректировки размеров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иных отдельных</w:t>
      </w:r>
      <w:r w:rsidR="0058342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стимулирующих выплат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584A9B" w:rsidRPr="00584A9B" w:rsidRDefault="00584A9B" w:rsidP="00584A9B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84A9B" w:rsidRPr="00584A9B" w:rsidRDefault="00584A9B" w:rsidP="0058342B">
      <w:pPr>
        <w:spacing w:after="0" w:line="240" w:lineRule="auto"/>
        <w:ind w:left="567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584A9B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Важно!</w:t>
      </w:r>
      <w:r w:rsidRPr="00584A9B">
        <w:rPr>
          <w:rFonts w:ascii="Tahoma" w:eastAsia="Times New Roman" w:hAnsi="Tahoma" w:cs="Tahoma"/>
          <w:color w:val="FF0000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Перераспределение средств между </w:t>
      </w:r>
      <w:proofErr w:type="spellStart"/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стимулирующими</w:t>
      </w:r>
      <w:proofErr w:type="gramStart"/>
      <w:r w:rsidRPr="00584A9B">
        <w:rPr>
          <w:rFonts w:ascii="Tahoma" w:eastAsia="Times New Roman" w:hAnsi="Tahoma" w:cs="Tahoma"/>
          <w:b/>
          <w:bCs/>
          <w:color w:val="FFFFFF"/>
          <w:sz w:val="21"/>
          <w:szCs w:val="21"/>
          <w:lang w:eastAsia="ru-RU"/>
        </w:rPr>
        <w:t>ccccc</w:t>
      </w:r>
      <w:proofErr w:type="gramEnd"/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выплатами</w:t>
      </w:r>
      <w:proofErr w:type="spellEnd"/>
      <w:r w:rsidRPr="00584A9B">
        <w:rPr>
          <w:rFonts w:ascii="Tahoma" w:eastAsia="Times New Roman" w:hAnsi="Tahoma" w:cs="Tahoma"/>
          <w:b/>
          <w:bCs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одинаковой продолжительности рабочего времени </w:t>
      </w:r>
      <w:proofErr w:type="spellStart"/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</w:t>
      </w:r>
      <w:r w:rsidRPr="00584A9B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ccccc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напряженности</w:t>
      </w:r>
      <w:proofErr w:type="spellEnd"/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не приведет к снижению уровня оплаты труда </w:t>
      </w:r>
      <w:proofErr w:type="spellStart"/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работников,</w:t>
      </w:r>
      <w:r w:rsidRPr="00584A9B">
        <w:rPr>
          <w:rFonts w:ascii="Tahoma" w:eastAsia="Times New Roman" w:hAnsi="Tahoma" w:cs="Tahoma"/>
          <w:b/>
          <w:bCs/>
          <w:color w:val="FFFFFF"/>
          <w:sz w:val="21"/>
          <w:szCs w:val="21"/>
          <w:lang w:eastAsia="ru-RU"/>
        </w:rPr>
        <w:t>ccccc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установленного</w:t>
      </w:r>
      <w:proofErr w:type="spellEnd"/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 до 1 июля 2021 г.</w:t>
      </w:r>
    </w:p>
    <w:p w:rsidR="00584A9B" w:rsidRPr="00584A9B" w:rsidRDefault="00584A9B" w:rsidP="00584A9B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84A9B" w:rsidRPr="00584A9B" w:rsidRDefault="00584A9B" w:rsidP="00584A9B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584A9B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Важным новшеством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является также то, что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на премирование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будут направляться и</w:t>
      </w:r>
      <w:r w:rsidR="0058342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  <w:r w:rsidRPr="00584A9B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неиспользованные средства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предусмотренные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b/>
          <w:bCs/>
          <w:color w:val="0000FF"/>
          <w:sz w:val="21"/>
          <w:szCs w:val="21"/>
          <w:lang w:eastAsia="ru-RU"/>
        </w:rPr>
        <w:t>на оплату труда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584A9B" w:rsidRPr="00584A9B" w:rsidRDefault="00584A9B" w:rsidP="00584A9B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84A9B" w:rsidRPr="00584A9B" w:rsidRDefault="00584A9B" w:rsidP="00584A9B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Данные меры позволят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увеличить долю премирования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 объеме стимулирующих </w:t>
      </w:r>
      <w:proofErr w:type="gramStart"/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выплат работников</w:t>
      </w:r>
      <w:proofErr w:type="gramEnd"/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бюджетных организаций и тем самым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мотивировать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работника на добросовестное выполнение своих должностных обязанностей.</w:t>
      </w:r>
    </w:p>
    <w:p w:rsidR="00584A9B" w:rsidRPr="00584A9B" w:rsidRDefault="00584A9B" w:rsidP="00584A9B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84A9B" w:rsidRPr="00584A9B" w:rsidRDefault="00584A9B" w:rsidP="00584A9B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этом, как и до 1 июля 2021 г., Указ регулирует только размер средств, направляемых на премирование работников организации (20 процентов от суммы окладов работников).</w:t>
      </w:r>
      <w:r w:rsidR="0058342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Конкретный размер премии работника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определяется согласно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положению, утверждаемому руководителем бюджетной организации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584A9B" w:rsidRPr="00584A9B" w:rsidRDefault="00584A9B" w:rsidP="00584A9B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584A9B" w:rsidRPr="00584A9B" w:rsidRDefault="00584A9B" w:rsidP="00584A9B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Напомним!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Данным Указом предусмотрена еще одна норма. Это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увеличение с 1 января 2022 года размера единовременной выплаты на оздоровление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которая, как правило, выплачивается к отпуску, с 0,5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 одного оклада</w:t>
      </w:r>
      <w:r w:rsidRPr="00584A9B">
        <w:rPr>
          <w:rFonts w:ascii="Tahoma" w:eastAsia="Times New Roman" w:hAnsi="Tahoma" w:cs="Tahoma"/>
          <w:color w:val="443F3F"/>
          <w:sz w:val="21"/>
          <w:lang w:eastAsia="ru-RU"/>
        </w:rPr>
        <w:t> </w:t>
      </w:r>
      <w:r w:rsidRPr="00584A9B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работника.</w:t>
      </w:r>
    </w:p>
    <w:p w:rsidR="00856393" w:rsidRDefault="00856393"/>
    <w:p w:rsidR="0058342B" w:rsidRDefault="0058342B" w:rsidP="00F71F42">
      <w:pPr>
        <w:jc w:val="both"/>
      </w:pPr>
    </w:p>
    <w:p w:rsidR="0058342B" w:rsidRDefault="00F71F42" w:rsidP="00E03AD9">
      <w:pPr>
        <w:spacing w:after="0" w:line="280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342B" w:rsidRDefault="0058342B" w:rsidP="00F71F42">
      <w:pPr>
        <w:jc w:val="both"/>
      </w:pPr>
    </w:p>
    <w:sectPr w:rsidR="0058342B" w:rsidSect="0085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9B"/>
    <w:rsid w:val="0058342B"/>
    <w:rsid w:val="00584A9B"/>
    <w:rsid w:val="00751B61"/>
    <w:rsid w:val="00856393"/>
    <w:rsid w:val="00A9478F"/>
    <w:rsid w:val="00D87430"/>
    <w:rsid w:val="00E03AD9"/>
    <w:rsid w:val="00F7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93"/>
  </w:style>
  <w:style w:type="paragraph" w:styleId="2">
    <w:name w:val="heading 2"/>
    <w:basedOn w:val="a"/>
    <w:link w:val="20"/>
    <w:uiPriority w:val="9"/>
    <w:qFormat/>
    <w:rsid w:val="00584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84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Shuniborova.e</dc:creator>
  <cp:lastModifiedBy>Shuniborova.e</cp:lastModifiedBy>
  <cp:revision>2</cp:revision>
  <cp:lastPrinted>2021-08-05T08:42:00Z</cp:lastPrinted>
  <dcterms:created xsi:type="dcterms:W3CDTF">2021-08-05T08:59:00Z</dcterms:created>
  <dcterms:modified xsi:type="dcterms:W3CDTF">2021-08-05T08:59:00Z</dcterms:modified>
</cp:coreProperties>
</file>