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CB" w:rsidRDefault="005251CB" w:rsidP="005251CB">
      <w:pPr>
        <w:jc w:val="center"/>
        <w:rPr>
          <w:sz w:val="28"/>
          <w:szCs w:val="28"/>
        </w:rPr>
      </w:pPr>
      <w:bookmarkStart w:id="0" w:name="a21"/>
      <w:bookmarkEnd w:id="0"/>
      <w:r>
        <w:rPr>
          <w:sz w:val="28"/>
          <w:szCs w:val="28"/>
        </w:rPr>
        <w:t xml:space="preserve">АДМИНИСТРАТИВНАЯ ПРОЦЕДУРА № 16.10.4 </w:t>
      </w:r>
    </w:p>
    <w:p w:rsidR="005251CB" w:rsidRPr="00D66BD0" w:rsidRDefault="005251CB" w:rsidP="005251CB">
      <w:pPr>
        <w:jc w:val="center"/>
        <w:rPr>
          <w:sz w:val="32"/>
          <w:szCs w:val="28"/>
        </w:rPr>
      </w:pPr>
      <w:r w:rsidRPr="00D66BD0">
        <w:rPr>
          <w:b/>
          <w:bCs/>
          <w:color w:val="000000"/>
          <w:sz w:val="28"/>
          <w:shd w:val="clear" w:color="auto" w:fill="FFFFFF"/>
        </w:rPr>
        <w:t>Исключение жилого помещения государственного жилищного фонда из состава арендного жилья</w:t>
      </w:r>
    </w:p>
    <w:tbl>
      <w:tblPr>
        <w:tblStyle w:val="a7"/>
        <w:tblW w:w="10031" w:type="dxa"/>
        <w:tblLook w:val="04A0"/>
      </w:tblPr>
      <w:tblGrid>
        <w:gridCol w:w="3500"/>
        <w:gridCol w:w="6531"/>
      </w:tblGrid>
      <w:tr w:rsidR="005251CB" w:rsidTr="00BF01C9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CB" w:rsidRDefault="005251CB" w:rsidP="00BF01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6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CB" w:rsidRDefault="005251CB" w:rsidP="00BF01C9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186"/>
                <w:tab w:val="left" w:pos="496"/>
              </w:tabs>
              <w:ind w:left="0" w:firstLine="0"/>
              <w:rPr>
                <w:szCs w:val="30"/>
              </w:rPr>
            </w:pPr>
            <w:r>
              <w:rPr>
                <w:rFonts w:cs="Times New Roman"/>
                <w:sz w:val="28"/>
                <w:szCs w:val="28"/>
              </w:rPr>
              <w:t>заявление</w:t>
            </w:r>
          </w:p>
        </w:tc>
      </w:tr>
      <w:tr w:rsidR="005251CB" w:rsidTr="00BF01C9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CB" w:rsidRDefault="005251CB" w:rsidP="00BF01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1CB" w:rsidRDefault="005251CB" w:rsidP="00BF01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  <w:p w:rsidR="005251CB" w:rsidRDefault="005251CB" w:rsidP="00BF01C9">
            <w:pPr>
              <w:ind w:firstLine="0"/>
              <w:rPr>
                <w:sz w:val="28"/>
                <w:szCs w:val="28"/>
              </w:rPr>
            </w:pPr>
          </w:p>
          <w:p w:rsidR="005251CB" w:rsidRDefault="005251CB" w:rsidP="00BF01C9">
            <w:pPr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5251CB" w:rsidTr="00BF01C9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CB" w:rsidRDefault="005251CB" w:rsidP="00BF01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6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CB" w:rsidRDefault="007C4AC8" w:rsidP="00BF01C9">
            <w:pPr>
              <w:pStyle w:val="table1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дней</w:t>
            </w:r>
            <w:r w:rsidR="005251CB">
              <w:rPr>
                <w:sz w:val="28"/>
                <w:szCs w:val="28"/>
              </w:rPr>
              <w:t xml:space="preserve"> </w:t>
            </w:r>
          </w:p>
        </w:tc>
      </w:tr>
      <w:tr w:rsidR="005251CB" w:rsidTr="00BF01C9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CB" w:rsidRDefault="005251CB" w:rsidP="00BF01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CB" w:rsidRDefault="005251CB" w:rsidP="00BF01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5251CB" w:rsidTr="00BF01C9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CB" w:rsidRDefault="005251CB" w:rsidP="00BF01C9">
            <w:pPr>
              <w:ind w:firstLine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Документы и (или) сведения запрашиваемые (получаемые) уполномоченным органом самостоятельно</w:t>
            </w:r>
          </w:p>
        </w:tc>
        <w:tc>
          <w:tcPr>
            <w:tcW w:w="6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1CB" w:rsidRDefault="005251CB" w:rsidP="00BF01C9">
            <w:pPr>
              <w:pStyle w:val="a6"/>
              <w:numPr>
                <w:ilvl w:val="0"/>
                <w:numId w:val="2"/>
              </w:numPr>
              <w:tabs>
                <w:tab w:val="left" w:pos="186"/>
              </w:tabs>
              <w:ind w:left="0" w:firstLine="4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</w:tr>
    </w:tbl>
    <w:p w:rsidR="00F75324" w:rsidRDefault="00F75324" w:rsidP="005251CB">
      <w:pPr>
        <w:pStyle w:val="capu1"/>
        <w:shd w:val="clear" w:color="auto" w:fill="FFFFFF"/>
        <w:spacing w:before="0" w:beforeAutospacing="0" w:after="120" w:afterAutospacing="0"/>
        <w:rPr>
          <w:i/>
          <w:iCs/>
          <w:color w:val="000000"/>
          <w:sz w:val="22"/>
          <w:szCs w:val="22"/>
        </w:rPr>
      </w:pPr>
    </w:p>
    <w:p w:rsidR="00F75324" w:rsidRDefault="00F75324" w:rsidP="005251CB">
      <w:pPr>
        <w:pStyle w:val="capu1"/>
        <w:shd w:val="clear" w:color="auto" w:fill="FFFFFF"/>
        <w:spacing w:before="0" w:beforeAutospacing="0" w:after="120" w:afterAutospacing="0"/>
        <w:rPr>
          <w:i/>
          <w:iCs/>
          <w:color w:val="000000"/>
          <w:sz w:val="22"/>
          <w:szCs w:val="22"/>
        </w:rPr>
      </w:pPr>
    </w:p>
    <w:p w:rsidR="00F75324" w:rsidRDefault="00F75324" w:rsidP="005251CB">
      <w:pPr>
        <w:pStyle w:val="capu1"/>
        <w:shd w:val="clear" w:color="auto" w:fill="FFFFFF"/>
        <w:spacing w:before="0" w:beforeAutospacing="0" w:after="120" w:afterAutospacing="0"/>
        <w:rPr>
          <w:i/>
          <w:iCs/>
          <w:color w:val="000000"/>
          <w:sz w:val="22"/>
          <w:szCs w:val="22"/>
        </w:rPr>
      </w:pPr>
    </w:p>
    <w:p w:rsidR="00F75324" w:rsidRDefault="00F75324" w:rsidP="005251CB">
      <w:pPr>
        <w:pStyle w:val="capu1"/>
        <w:shd w:val="clear" w:color="auto" w:fill="FFFFFF"/>
        <w:spacing w:before="0" w:beforeAutospacing="0" w:after="120" w:afterAutospacing="0"/>
        <w:rPr>
          <w:i/>
          <w:iCs/>
          <w:color w:val="000000"/>
          <w:sz w:val="22"/>
          <w:szCs w:val="22"/>
        </w:rPr>
      </w:pPr>
    </w:p>
    <w:p w:rsidR="00F75324" w:rsidRDefault="00F75324" w:rsidP="005251CB">
      <w:pPr>
        <w:pStyle w:val="capu1"/>
        <w:shd w:val="clear" w:color="auto" w:fill="FFFFFF"/>
        <w:spacing w:before="0" w:beforeAutospacing="0" w:after="120" w:afterAutospacing="0"/>
        <w:rPr>
          <w:i/>
          <w:iCs/>
          <w:color w:val="000000"/>
          <w:sz w:val="22"/>
          <w:szCs w:val="22"/>
        </w:rPr>
      </w:pPr>
    </w:p>
    <w:p w:rsidR="00F75324" w:rsidRDefault="00F75324" w:rsidP="005251CB">
      <w:pPr>
        <w:pStyle w:val="capu1"/>
        <w:shd w:val="clear" w:color="auto" w:fill="FFFFFF"/>
        <w:spacing w:before="0" w:beforeAutospacing="0" w:after="120" w:afterAutospacing="0"/>
        <w:rPr>
          <w:i/>
          <w:iCs/>
          <w:color w:val="000000"/>
          <w:sz w:val="22"/>
          <w:szCs w:val="22"/>
        </w:rPr>
      </w:pPr>
    </w:p>
    <w:p w:rsidR="00F75324" w:rsidRDefault="00F75324" w:rsidP="005251CB">
      <w:pPr>
        <w:pStyle w:val="capu1"/>
        <w:shd w:val="clear" w:color="auto" w:fill="FFFFFF"/>
        <w:spacing w:before="0" w:beforeAutospacing="0" w:after="120" w:afterAutospacing="0"/>
        <w:rPr>
          <w:i/>
          <w:iCs/>
          <w:color w:val="000000"/>
          <w:sz w:val="22"/>
          <w:szCs w:val="22"/>
        </w:rPr>
      </w:pPr>
    </w:p>
    <w:p w:rsidR="00F75324" w:rsidRDefault="00F75324" w:rsidP="005251CB">
      <w:pPr>
        <w:pStyle w:val="capu1"/>
        <w:shd w:val="clear" w:color="auto" w:fill="FFFFFF"/>
        <w:spacing w:before="0" w:beforeAutospacing="0" w:after="120" w:afterAutospacing="0"/>
        <w:rPr>
          <w:i/>
          <w:iCs/>
          <w:color w:val="000000"/>
          <w:sz w:val="22"/>
          <w:szCs w:val="22"/>
        </w:rPr>
      </w:pPr>
    </w:p>
    <w:p w:rsidR="00F75324" w:rsidRDefault="00F75324" w:rsidP="005251CB">
      <w:pPr>
        <w:pStyle w:val="capu1"/>
        <w:shd w:val="clear" w:color="auto" w:fill="FFFFFF"/>
        <w:spacing w:before="0" w:beforeAutospacing="0" w:after="120" w:afterAutospacing="0"/>
        <w:rPr>
          <w:i/>
          <w:iCs/>
          <w:color w:val="000000"/>
          <w:sz w:val="22"/>
          <w:szCs w:val="22"/>
        </w:rPr>
      </w:pPr>
    </w:p>
    <w:p w:rsidR="00F75324" w:rsidRDefault="00F75324" w:rsidP="005251CB">
      <w:pPr>
        <w:pStyle w:val="capu1"/>
        <w:shd w:val="clear" w:color="auto" w:fill="FFFFFF"/>
        <w:spacing w:before="0" w:beforeAutospacing="0" w:after="120" w:afterAutospacing="0"/>
        <w:rPr>
          <w:i/>
          <w:iCs/>
          <w:color w:val="000000"/>
          <w:sz w:val="22"/>
          <w:szCs w:val="22"/>
        </w:rPr>
      </w:pPr>
    </w:p>
    <w:p w:rsidR="00F75324" w:rsidRDefault="00F75324" w:rsidP="005251CB">
      <w:pPr>
        <w:pStyle w:val="capu1"/>
        <w:shd w:val="clear" w:color="auto" w:fill="FFFFFF"/>
        <w:spacing w:before="0" w:beforeAutospacing="0" w:after="120" w:afterAutospacing="0"/>
        <w:rPr>
          <w:i/>
          <w:iCs/>
          <w:color w:val="000000"/>
          <w:sz w:val="22"/>
          <w:szCs w:val="22"/>
        </w:rPr>
      </w:pPr>
    </w:p>
    <w:p w:rsidR="00F75324" w:rsidRDefault="00F75324" w:rsidP="005251CB">
      <w:pPr>
        <w:pStyle w:val="capu1"/>
        <w:shd w:val="clear" w:color="auto" w:fill="FFFFFF"/>
        <w:spacing w:before="0" w:beforeAutospacing="0" w:after="120" w:afterAutospacing="0"/>
        <w:rPr>
          <w:i/>
          <w:iCs/>
          <w:color w:val="000000"/>
          <w:sz w:val="22"/>
          <w:szCs w:val="22"/>
        </w:rPr>
      </w:pPr>
    </w:p>
    <w:p w:rsidR="00F75324" w:rsidRDefault="00F75324" w:rsidP="005251CB">
      <w:pPr>
        <w:pStyle w:val="capu1"/>
        <w:shd w:val="clear" w:color="auto" w:fill="FFFFFF"/>
        <w:spacing w:before="0" w:beforeAutospacing="0" w:after="120" w:afterAutospacing="0"/>
        <w:rPr>
          <w:i/>
          <w:iCs/>
          <w:color w:val="000000"/>
          <w:sz w:val="22"/>
          <w:szCs w:val="22"/>
        </w:rPr>
      </w:pPr>
    </w:p>
    <w:p w:rsidR="00F75324" w:rsidRDefault="00F75324" w:rsidP="005251CB">
      <w:pPr>
        <w:pStyle w:val="capu1"/>
        <w:shd w:val="clear" w:color="auto" w:fill="FFFFFF"/>
        <w:spacing w:before="0" w:beforeAutospacing="0" w:after="120" w:afterAutospacing="0"/>
        <w:rPr>
          <w:i/>
          <w:iCs/>
          <w:color w:val="000000"/>
          <w:sz w:val="22"/>
          <w:szCs w:val="22"/>
        </w:rPr>
      </w:pPr>
    </w:p>
    <w:p w:rsidR="00F75324" w:rsidRDefault="00F75324" w:rsidP="005251CB">
      <w:pPr>
        <w:pStyle w:val="capu1"/>
        <w:shd w:val="clear" w:color="auto" w:fill="FFFFFF"/>
        <w:spacing w:before="0" w:beforeAutospacing="0" w:after="120" w:afterAutospacing="0"/>
        <w:rPr>
          <w:i/>
          <w:iCs/>
          <w:color w:val="000000"/>
          <w:sz w:val="22"/>
          <w:szCs w:val="22"/>
        </w:rPr>
      </w:pPr>
    </w:p>
    <w:p w:rsidR="00F75324" w:rsidRDefault="00F75324" w:rsidP="005251CB">
      <w:pPr>
        <w:pStyle w:val="capu1"/>
        <w:shd w:val="clear" w:color="auto" w:fill="FFFFFF"/>
        <w:spacing w:before="0" w:beforeAutospacing="0" w:after="120" w:afterAutospacing="0"/>
        <w:rPr>
          <w:i/>
          <w:iCs/>
          <w:color w:val="000000"/>
          <w:sz w:val="22"/>
          <w:szCs w:val="22"/>
        </w:rPr>
      </w:pPr>
    </w:p>
    <w:p w:rsidR="00F75324" w:rsidRDefault="00F75324" w:rsidP="005251CB">
      <w:pPr>
        <w:pStyle w:val="capu1"/>
        <w:shd w:val="clear" w:color="auto" w:fill="FFFFFF"/>
        <w:spacing w:before="0" w:beforeAutospacing="0" w:after="120" w:afterAutospacing="0"/>
        <w:rPr>
          <w:i/>
          <w:iCs/>
          <w:color w:val="000000"/>
          <w:sz w:val="22"/>
          <w:szCs w:val="22"/>
        </w:rPr>
      </w:pPr>
    </w:p>
    <w:p w:rsidR="00F75324" w:rsidRDefault="00F75324" w:rsidP="005251CB">
      <w:pPr>
        <w:pStyle w:val="capu1"/>
        <w:shd w:val="clear" w:color="auto" w:fill="FFFFFF"/>
        <w:spacing w:before="0" w:beforeAutospacing="0" w:after="120" w:afterAutospacing="0"/>
        <w:rPr>
          <w:i/>
          <w:iCs/>
          <w:color w:val="000000"/>
          <w:sz w:val="22"/>
          <w:szCs w:val="22"/>
        </w:rPr>
      </w:pPr>
    </w:p>
    <w:p w:rsidR="005251CB" w:rsidRDefault="00F75324" w:rsidP="005251CB">
      <w:pPr>
        <w:pStyle w:val="capu1"/>
        <w:shd w:val="clear" w:color="auto" w:fill="FFFFFF"/>
        <w:spacing w:before="0" w:beforeAutospacing="0" w:after="12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</w:t>
      </w:r>
      <w:r w:rsidR="005251CB">
        <w:rPr>
          <w:i/>
          <w:iCs/>
          <w:color w:val="000000"/>
          <w:sz w:val="22"/>
          <w:szCs w:val="22"/>
        </w:rPr>
        <w:t>УТВЕРЖДЕНО</w:t>
      </w:r>
    </w:p>
    <w:p w:rsidR="005251CB" w:rsidRDefault="00FF0961" w:rsidP="005251CB">
      <w:pPr>
        <w:pStyle w:val="cap1"/>
        <w:shd w:val="clear" w:color="auto" w:fill="FFFFFF"/>
        <w:spacing w:before="0" w:beforeAutospacing="0" w:after="0" w:afterAutospacing="0"/>
        <w:ind w:left="5954"/>
        <w:rPr>
          <w:i/>
          <w:iCs/>
          <w:color w:val="000000"/>
          <w:sz w:val="22"/>
          <w:szCs w:val="22"/>
        </w:rPr>
      </w:pPr>
      <w:hyperlink r:id="rId6" w:anchor="a1" w:tooltip="+" w:history="1">
        <w:r w:rsidR="005251CB" w:rsidRPr="005251CB">
          <w:rPr>
            <w:rStyle w:val="a5"/>
            <w:i/>
            <w:iCs/>
            <w:color w:val="000000" w:themeColor="text1"/>
            <w:sz w:val="22"/>
            <w:szCs w:val="22"/>
          </w:rPr>
          <w:t>Постановление</w:t>
        </w:r>
      </w:hyperlink>
      <w:r w:rsidR="005251CB" w:rsidRPr="005251CB">
        <w:rPr>
          <w:i/>
          <w:iCs/>
          <w:color w:val="000000" w:themeColor="text1"/>
          <w:sz w:val="22"/>
          <w:szCs w:val="22"/>
          <w:u w:val="single"/>
        </w:rPr>
        <w:br/>
      </w:r>
      <w:r w:rsidR="005251CB">
        <w:rPr>
          <w:i/>
          <w:iCs/>
          <w:color w:val="000000"/>
          <w:sz w:val="22"/>
          <w:szCs w:val="22"/>
        </w:rPr>
        <w:t xml:space="preserve">Министерства </w:t>
      </w:r>
      <w:proofErr w:type="spellStart"/>
      <w:r w:rsidR="005251CB">
        <w:rPr>
          <w:i/>
          <w:iCs/>
          <w:color w:val="000000"/>
          <w:sz w:val="22"/>
          <w:szCs w:val="22"/>
        </w:rPr>
        <w:t>жилищн</w:t>
      </w:r>
      <w:proofErr w:type="gramStart"/>
      <w:r w:rsidR="005251CB">
        <w:rPr>
          <w:i/>
          <w:iCs/>
          <w:color w:val="000000"/>
          <w:sz w:val="22"/>
          <w:szCs w:val="22"/>
        </w:rPr>
        <w:t>о</w:t>
      </w:r>
      <w:proofErr w:type="spellEnd"/>
      <w:r w:rsidR="005251CB">
        <w:rPr>
          <w:i/>
          <w:iCs/>
          <w:color w:val="000000"/>
          <w:sz w:val="22"/>
          <w:szCs w:val="22"/>
        </w:rPr>
        <w:t>-</w:t>
      </w:r>
      <w:proofErr w:type="gramEnd"/>
      <w:r w:rsidR="005251CB">
        <w:rPr>
          <w:i/>
          <w:iCs/>
          <w:color w:val="000000"/>
          <w:sz w:val="22"/>
          <w:szCs w:val="22"/>
        </w:rPr>
        <w:br/>
        <w:t>коммунального хозяйства</w:t>
      </w:r>
      <w:r w:rsidR="005251CB">
        <w:rPr>
          <w:i/>
          <w:iCs/>
          <w:color w:val="000000"/>
          <w:sz w:val="22"/>
          <w:szCs w:val="22"/>
        </w:rPr>
        <w:br/>
        <w:t>Республики Беларусь</w:t>
      </w:r>
    </w:p>
    <w:p w:rsidR="005251CB" w:rsidRDefault="005251CB" w:rsidP="005251CB">
      <w:pPr>
        <w:pStyle w:val="cap1"/>
        <w:shd w:val="clear" w:color="auto" w:fill="FFFFFF"/>
        <w:spacing w:before="0" w:beforeAutospacing="0" w:after="0" w:afterAutospacing="0"/>
        <w:ind w:left="5954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23.03.2022 № 5</w:t>
      </w:r>
    </w:p>
    <w:p w:rsidR="005251CB" w:rsidRDefault="005251CB" w:rsidP="005251CB">
      <w:pPr>
        <w:pStyle w:val="titleu"/>
        <w:pBdr>
          <w:bottom w:val="single" w:sz="4" w:space="1" w:color="auto"/>
        </w:pBdr>
        <w:shd w:val="clear" w:color="auto" w:fill="FFFFFF"/>
        <w:spacing w:before="360" w:beforeAutospacing="0" w:after="360" w:afterAutospacing="0"/>
        <w:rPr>
          <w:b/>
          <w:bCs/>
          <w:color w:val="000000"/>
        </w:rPr>
      </w:pPr>
      <w:r>
        <w:rPr>
          <w:b/>
          <w:bCs/>
          <w:color w:val="000000"/>
        </w:rPr>
        <w:t>РЕГЛАМЕНТ</w:t>
      </w:r>
      <w:r>
        <w:rPr>
          <w:b/>
          <w:bCs/>
          <w:color w:val="000000"/>
        </w:rPr>
        <w:br/>
        <w:t xml:space="preserve">административной процедуры, осуществляемой в отношении субъектов хозяйствования, </w:t>
      </w:r>
      <w:r w:rsidRPr="005251CB">
        <w:rPr>
          <w:b/>
          <w:bCs/>
          <w:color w:val="000000"/>
        </w:rPr>
        <w:t>по </w:t>
      </w:r>
      <w:bookmarkStart w:id="1" w:name="f"/>
      <w:bookmarkEnd w:id="1"/>
      <w:r w:rsidR="00FF0961" w:rsidRPr="005251CB">
        <w:rPr>
          <w:b/>
          <w:bCs/>
          <w:color w:val="000000" w:themeColor="text1"/>
        </w:rPr>
        <w:fldChar w:fldCharType="begin"/>
      </w:r>
      <w:r w:rsidRPr="005251CB">
        <w:rPr>
          <w:b/>
          <w:bCs/>
          <w:color w:val="000000" w:themeColor="text1"/>
        </w:rPr>
        <w:instrText xml:space="preserve"> HYPERLINK "https://bii.by/tx.dll?d=466341&amp;a=657" \l "a657" \o "+" </w:instrText>
      </w:r>
      <w:r w:rsidR="00FF0961" w:rsidRPr="005251CB">
        <w:rPr>
          <w:b/>
          <w:bCs/>
          <w:color w:val="000000" w:themeColor="text1"/>
        </w:rPr>
        <w:fldChar w:fldCharType="separate"/>
      </w:r>
      <w:r w:rsidRPr="005251CB">
        <w:rPr>
          <w:rStyle w:val="a5"/>
          <w:b/>
          <w:bCs/>
          <w:color w:val="000000" w:themeColor="text1"/>
          <w:shd w:val="clear" w:color="auto" w:fill="FFFF00"/>
        </w:rPr>
        <w:t>подпункту 16.10.4</w:t>
      </w:r>
      <w:r w:rsidR="00FF0961" w:rsidRPr="005251CB">
        <w:rPr>
          <w:b/>
          <w:bCs/>
          <w:color w:val="000000" w:themeColor="text1"/>
        </w:rPr>
        <w:fldChar w:fldCharType="end"/>
      </w:r>
      <w:r w:rsidRPr="005251CB">
        <w:rPr>
          <w:b/>
          <w:bCs/>
          <w:color w:val="000000"/>
        </w:rPr>
        <w:t> «Исключение</w:t>
      </w:r>
      <w:r>
        <w:rPr>
          <w:b/>
          <w:bCs/>
          <w:color w:val="000000"/>
        </w:rPr>
        <w:t xml:space="preserve"> жилого помещения государственного жилищного фонда из состава арендного жилья»</w:t>
      </w:r>
    </w:p>
    <w:p w:rsidR="005251CB" w:rsidRDefault="005251CB" w:rsidP="005251CB">
      <w:pPr>
        <w:pStyle w:val="point"/>
        <w:pBdr>
          <w:bottom w:val="single" w:sz="4" w:space="1" w:color="auto"/>
        </w:pBdr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1. Особенности осуществления административной процедуры:</w:t>
      </w:r>
    </w:p>
    <w:p w:rsidR="005251CB" w:rsidRDefault="005251CB" w:rsidP="005251CB">
      <w:pPr>
        <w:pStyle w:val="underpoint"/>
        <w:pBdr>
          <w:bottom w:val="single" w:sz="4" w:space="1" w:color="auto"/>
        </w:pBdr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вышестоящий орган, государственный орган или иная государственная организация, заключившие договор безвозмездного пользования жилым помещением, или уполномоченное ими лицо, государственное учреждение «Администрация Китайско-Белорусского индустриального парка «Великий камень», другие государственные органы, иные государственные организации, в хозяйственном ведении или оперативном управлении которых находятся жилые помещения республиканского жилищного фонда;</w:t>
      </w:r>
      <w:proofErr w:type="gramEnd"/>
    </w:p>
    <w:p w:rsidR="005251CB" w:rsidRDefault="005251CB" w:rsidP="005251CB">
      <w:pPr>
        <w:pStyle w:val="underpoint"/>
        <w:pBdr>
          <w:bottom w:val="single" w:sz="4" w:space="1" w:color="auto"/>
        </w:pBdr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местный исполнительный и распорядительный орган);</w:t>
      </w:r>
    </w:p>
    <w:p w:rsidR="005251CB" w:rsidRPr="005251CB" w:rsidRDefault="005251CB" w:rsidP="005251CB">
      <w:pPr>
        <w:pStyle w:val="underpoint"/>
        <w:pBdr>
          <w:bottom w:val="single" w:sz="4" w:space="1" w:color="auto"/>
        </w:pBdr>
        <w:shd w:val="clear" w:color="auto" w:fill="FFFFFF"/>
        <w:spacing w:before="160" w:beforeAutospacing="0" w:after="160" w:afterAutospacing="0"/>
        <w:ind w:firstLine="567"/>
        <w:jc w:val="both"/>
        <w:rPr>
          <w:color w:val="000000" w:themeColor="text1"/>
        </w:rPr>
      </w:pPr>
      <w:r>
        <w:rPr>
          <w:color w:val="000000"/>
        </w:rPr>
        <w:t xml:space="preserve"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</w:t>
      </w:r>
      <w:r w:rsidRPr="005251CB">
        <w:rPr>
          <w:color w:val="000000" w:themeColor="text1"/>
        </w:rPr>
        <w:t>порядок осуществления административной процедуры:</w:t>
      </w:r>
    </w:p>
    <w:p w:rsidR="005251CB" w:rsidRPr="005251CB" w:rsidRDefault="005251CB" w:rsidP="005251CB">
      <w:pPr>
        <w:pStyle w:val="newncpi"/>
        <w:pBdr>
          <w:bottom w:val="single" w:sz="4" w:space="1" w:color="auto"/>
        </w:pBdr>
        <w:shd w:val="clear" w:color="auto" w:fill="FFFFFF"/>
        <w:spacing w:before="160" w:beforeAutospacing="0" w:after="160" w:afterAutospacing="0"/>
        <w:ind w:firstLine="567"/>
        <w:jc w:val="both"/>
        <w:rPr>
          <w:color w:val="000000" w:themeColor="text1"/>
        </w:rPr>
      </w:pPr>
      <w:r w:rsidRPr="005251CB">
        <w:rPr>
          <w:color w:val="000000" w:themeColor="text1"/>
        </w:rPr>
        <w:t>Жилищный </w:t>
      </w:r>
      <w:hyperlink r:id="rId7" w:anchor="a1" w:tooltip="+" w:history="1">
        <w:r w:rsidRPr="005251CB">
          <w:rPr>
            <w:rStyle w:val="a5"/>
            <w:color w:val="000000" w:themeColor="text1"/>
            <w:u w:val="none"/>
          </w:rPr>
          <w:t>кодекс</w:t>
        </w:r>
      </w:hyperlink>
      <w:r w:rsidRPr="005251CB">
        <w:rPr>
          <w:color w:val="000000" w:themeColor="text1"/>
        </w:rPr>
        <w:t> Республики Беларусь;</w:t>
      </w:r>
    </w:p>
    <w:p w:rsidR="005251CB" w:rsidRPr="005251CB" w:rsidRDefault="00FF0961" w:rsidP="005251CB">
      <w:pPr>
        <w:pStyle w:val="newncpi"/>
        <w:pBdr>
          <w:bottom w:val="single" w:sz="4" w:space="1" w:color="auto"/>
        </w:pBdr>
        <w:shd w:val="clear" w:color="auto" w:fill="FFFFFF"/>
        <w:spacing w:before="160" w:beforeAutospacing="0" w:after="160" w:afterAutospacing="0"/>
        <w:ind w:firstLine="567"/>
        <w:jc w:val="both"/>
        <w:rPr>
          <w:color w:val="000000" w:themeColor="text1"/>
        </w:rPr>
      </w:pPr>
      <w:hyperlink r:id="rId8" w:anchor="a68" w:tooltip="+" w:history="1">
        <w:r w:rsidR="005251CB" w:rsidRPr="005251CB">
          <w:rPr>
            <w:rStyle w:val="a5"/>
            <w:color w:val="000000" w:themeColor="text1"/>
            <w:u w:val="none"/>
          </w:rPr>
          <w:t>Закон</w:t>
        </w:r>
      </w:hyperlink>
      <w:r w:rsidR="005251CB" w:rsidRPr="005251CB">
        <w:rPr>
          <w:color w:val="000000" w:themeColor="text1"/>
        </w:rPr>
        <w:t> Республики Беларусь от 28 октября 2008 г. № 433-З «Об основах административных процедур»;</w:t>
      </w:r>
    </w:p>
    <w:p w:rsidR="005251CB" w:rsidRPr="005251CB" w:rsidRDefault="00FF0961" w:rsidP="005251CB">
      <w:pPr>
        <w:pStyle w:val="newncpi"/>
        <w:pBdr>
          <w:bottom w:val="single" w:sz="4" w:space="1" w:color="auto"/>
        </w:pBdr>
        <w:shd w:val="clear" w:color="auto" w:fill="FFFFFF"/>
        <w:spacing w:before="160" w:beforeAutospacing="0" w:after="160" w:afterAutospacing="0"/>
        <w:ind w:firstLine="567"/>
        <w:jc w:val="both"/>
        <w:rPr>
          <w:color w:val="000000" w:themeColor="text1"/>
        </w:rPr>
      </w:pPr>
      <w:hyperlink r:id="rId9" w:anchor="a1" w:tooltip="+" w:history="1">
        <w:r w:rsidR="005251CB" w:rsidRPr="005251CB">
          <w:rPr>
            <w:rStyle w:val="a5"/>
            <w:color w:val="000000" w:themeColor="text1"/>
            <w:u w:val="none"/>
          </w:rPr>
          <w:t>Указ</w:t>
        </w:r>
      </w:hyperlink>
      <w:r w:rsidR="005251CB" w:rsidRPr="005251CB">
        <w:rPr>
          <w:color w:val="000000" w:themeColor="text1"/>
        </w:rPr>
        <w:t> 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5251CB" w:rsidRPr="005251CB" w:rsidRDefault="00FF0961" w:rsidP="005251CB">
      <w:pPr>
        <w:pStyle w:val="newncpi"/>
        <w:pBdr>
          <w:bottom w:val="single" w:sz="4" w:space="1" w:color="auto"/>
        </w:pBdr>
        <w:shd w:val="clear" w:color="auto" w:fill="FFFFFF"/>
        <w:spacing w:before="160" w:beforeAutospacing="0" w:after="160" w:afterAutospacing="0"/>
        <w:ind w:firstLine="567"/>
        <w:jc w:val="both"/>
        <w:rPr>
          <w:color w:val="000000" w:themeColor="text1"/>
        </w:rPr>
      </w:pPr>
      <w:hyperlink r:id="rId10" w:anchor="a10" w:tooltip="+" w:history="1">
        <w:r w:rsidR="005251CB" w:rsidRPr="005251CB">
          <w:rPr>
            <w:rStyle w:val="a5"/>
            <w:color w:val="000000" w:themeColor="text1"/>
            <w:u w:val="none"/>
          </w:rPr>
          <w:t>Указ</w:t>
        </w:r>
      </w:hyperlink>
      <w:r w:rsidR="005251CB" w:rsidRPr="005251CB">
        <w:rPr>
          <w:color w:val="000000" w:themeColor="text1"/>
        </w:rPr>
        <w:t>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5251CB" w:rsidRPr="005251CB" w:rsidRDefault="00FF0961" w:rsidP="005251CB">
      <w:pPr>
        <w:pStyle w:val="newncpi"/>
        <w:pBdr>
          <w:bottom w:val="single" w:sz="4" w:space="1" w:color="auto"/>
        </w:pBdr>
        <w:shd w:val="clear" w:color="auto" w:fill="FFFFFF"/>
        <w:spacing w:before="160" w:beforeAutospacing="0" w:after="160" w:afterAutospacing="0"/>
        <w:ind w:firstLine="567"/>
        <w:jc w:val="both"/>
        <w:rPr>
          <w:color w:val="000000" w:themeColor="text1"/>
        </w:rPr>
      </w:pPr>
      <w:hyperlink r:id="rId11" w:anchor="a3" w:tooltip="+" w:history="1">
        <w:r w:rsidR="005251CB" w:rsidRPr="005251CB">
          <w:rPr>
            <w:rStyle w:val="a5"/>
            <w:color w:val="000000" w:themeColor="text1"/>
            <w:u w:val="none"/>
          </w:rPr>
          <w:t>постановление</w:t>
        </w:r>
      </w:hyperlink>
      <w:r w:rsidR="005251CB" w:rsidRPr="005251CB">
        <w:rPr>
          <w:color w:val="000000" w:themeColor="text1"/>
        </w:rPr>
        <w:t> 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5251CB" w:rsidRPr="005251CB" w:rsidRDefault="00FF0961" w:rsidP="005251CB">
      <w:pPr>
        <w:pStyle w:val="newncpi"/>
        <w:pBdr>
          <w:bottom w:val="single" w:sz="4" w:space="1" w:color="auto"/>
        </w:pBdr>
        <w:shd w:val="clear" w:color="auto" w:fill="FFFFFF"/>
        <w:spacing w:before="160" w:beforeAutospacing="0" w:after="160" w:afterAutospacing="0"/>
        <w:ind w:firstLine="567"/>
        <w:jc w:val="both"/>
        <w:rPr>
          <w:color w:val="000000" w:themeColor="text1"/>
        </w:rPr>
      </w:pPr>
      <w:hyperlink r:id="rId12" w:anchor="a5" w:tooltip="+" w:history="1">
        <w:r w:rsidR="005251CB" w:rsidRPr="005251CB">
          <w:rPr>
            <w:rStyle w:val="a5"/>
            <w:color w:val="000000" w:themeColor="text1"/>
            <w:u w:val="none"/>
          </w:rPr>
          <w:t>постановление</w:t>
        </w:r>
      </w:hyperlink>
      <w:r w:rsidR="005251CB" w:rsidRPr="005251CB">
        <w:rPr>
          <w:color w:val="000000" w:themeColor="text1"/>
        </w:rPr>
        <w:t> 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251CB" w:rsidRPr="005251CB" w:rsidRDefault="005251CB" w:rsidP="005251CB">
      <w:pPr>
        <w:pStyle w:val="underpoint"/>
        <w:pBdr>
          <w:bottom w:val="single" w:sz="4" w:space="1" w:color="auto"/>
        </w:pBdr>
        <w:shd w:val="clear" w:color="auto" w:fill="FFFFFF"/>
        <w:spacing w:before="160" w:beforeAutospacing="0" w:after="160" w:afterAutospacing="0"/>
        <w:ind w:firstLine="567"/>
        <w:jc w:val="both"/>
        <w:rPr>
          <w:color w:val="000000" w:themeColor="text1"/>
        </w:rPr>
      </w:pPr>
      <w:r w:rsidRPr="005251CB">
        <w:rPr>
          <w:color w:val="000000" w:themeColor="text1"/>
        </w:rPr>
        <w:t>1.4. иные имеющиеся особенности осуществления административной процедуры:</w:t>
      </w:r>
    </w:p>
    <w:bookmarkStart w:id="2" w:name="a25"/>
    <w:bookmarkEnd w:id="2"/>
    <w:p w:rsidR="005251CB" w:rsidRDefault="00FF0961" w:rsidP="005251CB">
      <w:pPr>
        <w:pStyle w:val="underpoint"/>
        <w:pBdr>
          <w:bottom w:val="single" w:sz="4" w:space="1" w:color="auto"/>
        </w:pBdr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lastRenderedPageBreak/>
        <w:fldChar w:fldCharType="begin"/>
      </w:r>
      <w:r w:rsidR="005251CB">
        <w:instrText xml:space="preserve"> HYPERLINK "https://bii.by/sr.dll?links_doc=599195&amp;links_anch=25" </w:instrText>
      </w:r>
      <w:r>
        <w:fldChar w:fldCharType="separate"/>
      </w:r>
      <w:r w:rsidR="007C4A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bii.by/an.png" href="https://bii.by/sr.dll?links_doc=599195&amp;links_anch=25" style="width:12pt;height:12pt;visibility:visible;mso-wrap-style:square" o:button="t">
            <v:imagedata r:id="rId13" o:title="an"/>
          </v:shape>
        </w:pict>
      </w:r>
      <w:r>
        <w:fldChar w:fldCharType="end"/>
      </w:r>
      <w:r w:rsidR="005251CB" w:rsidRPr="005251CB">
        <w:rPr>
          <w:noProof/>
          <w:color w:val="000000" w:themeColor="text1"/>
        </w:rPr>
        <w:drawing>
          <wp:inline distT="0" distB="0" distL="0" distR="0">
            <wp:extent cx="152400" cy="152400"/>
            <wp:effectExtent l="0" t="0" r="0" b="0"/>
            <wp:docPr id="2" name="Рисунок 2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1CB" w:rsidRPr="005251CB"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" name="Рисунок 1" descr="https://bii.by/cm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i.by/cm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1CB" w:rsidRPr="005251CB">
        <w:rPr>
          <w:color w:val="000000" w:themeColor="text1"/>
        </w:rPr>
        <w:t>1.4.1. обжалование административных решений, принятых областными, Минским городским исполнительными комитетами, государственным учреждением «Администрация Китайско</w:t>
      </w:r>
      <w:r w:rsidR="005251CB">
        <w:rPr>
          <w:color w:val="000000"/>
        </w:rPr>
        <w:t>-Белорусского индустриального парка «Великий камень», осуществляется в судебном порядке;</w:t>
      </w:r>
    </w:p>
    <w:p w:rsidR="005251CB" w:rsidRDefault="005251CB" w:rsidP="005251CB">
      <w:pPr>
        <w:pStyle w:val="underpoint"/>
        <w:pBdr>
          <w:bottom w:val="single" w:sz="4" w:space="1" w:color="auto"/>
        </w:pBdr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</w:p>
    <w:p w:rsidR="005251CB" w:rsidRDefault="005251CB" w:rsidP="005251CB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1.4.2. обжалование административных решений, принятых иными уполномоченными органами, за исключением указанных в </w:t>
      </w:r>
      <w:hyperlink r:id="rId17" w:anchor="a25" w:tooltip="+" w:history="1">
        <w:r w:rsidRPr="005251CB">
          <w:rPr>
            <w:rStyle w:val="a5"/>
            <w:color w:val="000000" w:themeColor="text1"/>
            <w:u w:val="none"/>
          </w:rPr>
          <w:t>подпункте 1.4.1</w:t>
        </w:r>
      </w:hyperlink>
      <w:r>
        <w:rPr>
          <w:color w:val="000000"/>
        </w:rPr>
        <w:t xml:space="preserve"> настоящего пункта и пункте 4 настоящего Регламента, осуществляется в порядке, </w:t>
      </w:r>
      <w:r w:rsidRPr="005251CB">
        <w:rPr>
          <w:color w:val="000000" w:themeColor="text1"/>
        </w:rPr>
        <w:t>предусмотренном </w:t>
      </w:r>
      <w:hyperlink r:id="rId18" w:anchor="a42" w:tooltip="+" w:history="1">
        <w:r w:rsidRPr="005251CB">
          <w:rPr>
            <w:rStyle w:val="a5"/>
            <w:color w:val="000000" w:themeColor="text1"/>
            <w:u w:val="none"/>
          </w:rPr>
          <w:t>статьей 30</w:t>
        </w:r>
      </w:hyperlink>
      <w:r w:rsidRPr="005251CB">
        <w:rPr>
          <w:color w:val="000000" w:themeColor="text1"/>
        </w:rPr>
        <w:t xml:space="preserve"> Закона </w:t>
      </w:r>
      <w:r>
        <w:rPr>
          <w:color w:val="000000"/>
        </w:rPr>
        <w:t>Республики Беларусь «Об основах административных процедур».</w:t>
      </w:r>
    </w:p>
    <w:p w:rsidR="005251CB" w:rsidRDefault="005251CB" w:rsidP="005251CB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2. Документы и (или) сведения, необходимые для осуществления административной процедуры:</w:t>
      </w:r>
    </w:p>
    <w:p w:rsidR="005251CB" w:rsidRDefault="005251CB" w:rsidP="005251CB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2.1. </w:t>
      </w:r>
      <w:proofErr w:type="gramStart"/>
      <w:r>
        <w:rPr>
          <w:color w:val="000000"/>
        </w:rPr>
        <w:t>представляемые</w:t>
      </w:r>
      <w:proofErr w:type="gramEnd"/>
      <w:r>
        <w:rPr>
          <w:color w:val="000000"/>
        </w:rPr>
        <w:t xml:space="preserve"> заинтересованным лицом:</w:t>
      </w:r>
    </w:p>
    <w:p w:rsidR="005251CB" w:rsidRDefault="005251CB" w:rsidP="005251C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0"/>
        <w:gridCol w:w="2060"/>
        <w:gridCol w:w="5920"/>
      </w:tblGrid>
      <w:tr w:rsidR="005251CB" w:rsidTr="005251CB">
        <w:trPr>
          <w:trHeight w:val="240"/>
        </w:trPr>
        <w:tc>
          <w:tcPr>
            <w:tcW w:w="192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документа и (или) сведений</w:t>
            </w:r>
          </w:p>
        </w:tc>
        <w:tc>
          <w:tcPr>
            <w:tcW w:w="231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Требования, предъявляемые к документу и (или) сведениям</w:t>
            </w:r>
          </w:p>
        </w:tc>
        <w:tc>
          <w:tcPr>
            <w:tcW w:w="848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и порядок представления документа и (или) сведений</w:t>
            </w:r>
          </w:p>
        </w:tc>
      </w:tr>
      <w:tr w:rsidR="005251CB" w:rsidTr="005251CB">
        <w:trPr>
          <w:trHeight w:val="240"/>
        </w:trPr>
        <w:tc>
          <w:tcPr>
            <w:tcW w:w="192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231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 должен соответствовать требованиям </w:t>
            </w:r>
            <w:hyperlink r:id="rId19" w:anchor="a191" w:tooltip="+" w:history="1">
              <w:r>
                <w:rPr>
                  <w:rStyle w:val="a5"/>
                  <w:sz w:val="20"/>
                  <w:szCs w:val="20"/>
                </w:rPr>
                <w:t>части первой</w:t>
              </w:r>
            </w:hyperlink>
            <w:r>
              <w:rPr>
                <w:color w:val="000000"/>
                <w:sz w:val="20"/>
                <w:szCs w:val="20"/>
              </w:rPr>
              <w:t> пункта 5 статьи 14 Закона Республики Беларусь «Об основах административных процедур»</w:t>
            </w:r>
          </w:p>
        </w:tc>
        <w:tc>
          <w:tcPr>
            <w:tcW w:w="848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 местный исполнительный и распорядительный орган, вышестоящий орган, государственный орган или иную государственную организацию, заключившие договор безвозмездного пользования жилым помещением, или уполномоченное ими лицо, другой государственный орган, иную государственную организацию, в хозяйственном ведении или оперативном управлении которых находятся жилые помещения республиканского жилищного фонда:</w:t>
            </w:r>
            <w:proofErr w:type="gramEnd"/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письменной форме:</w:t>
            </w:r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ходе приема заинтересованного лица;</w:t>
            </w:r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почте;</w:t>
            </w:r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нарочным (курьером);</w:t>
            </w:r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письменной форме:</w:t>
            </w:r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ходе приема заинтересованного лица;</w:t>
            </w:r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почте;</w:t>
            </w:r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нарочным (курьером);</w:t>
            </w:r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электронной форме – через интернет-сайт системы комплексного обслуживания по принципу «одна станция» (</w:t>
            </w:r>
            <w:proofErr w:type="spellStart"/>
            <w:r>
              <w:rPr>
                <w:color w:val="000000"/>
                <w:sz w:val="20"/>
                <w:szCs w:val="20"/>
              </w:rPr>
              <w:t>onestation.by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5251CB" w:rsidRDefault="005251CB" w:rsidP="005251C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5251CB" w:rsidRDefault="005251CB" w:rsidP="005251C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 </w:t>
      </w:r>
      <w:hyperlink r:id="rId20" w:anchor="a203" w:tooltip="+" w:history="1">
        <w:r>
          <w:rPr>
            <w:rStyle w:val="a5"/>
          </w:rPr>
          <w:t>втором–седьмом</w:t>
        </w:r>
      </w:hyperlink>
      <w:r>
        <w:rPr>
          <w:color w:val="000000"/>
        </w:rPr>
        <w:t> части первой пункта 2 статьи 15 Закона Республики Беларусь «Об основах административных процедур»;</w:t>
      </w:r>
    </w:p>
    <w:p w:rsidR="005251CB" w:rsidRDefault="005251CB" w:rsidP="005251CB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2.2. </w:t>
      </w:r>
      <w:proofErr w:type="gramStart"/>
      <w:r>
        <w:rPr>
          <w:color w:val="000000"/>
        </w:rPr>
        <w:t>запрашиваемые</w:t>
      </w:r>
      <w:proofErr w:type="gramEnd"/>
      <w:r>
        <w:rPr>
          <w:color w:val="000000"/>
        </w:rPr>
        <w:t xml:space="preserve"> (получаемые) уполномоченным органом самостоятельно:</w:t>
      </w:r>
    </w:p>
    <w:p w:rsidR="005251CB" w:rsidRDefault="005251CB" w:rsidP="005251C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0"/>
        <w:gridCol w:w="6060"/>
      </w:tblGrid>
      <w:tr w:rsidR="005251CB" w:rsidTr="005251CB">
        <w:trPr>
          <w:trHeight w:val="240"/>
        </w:trPr>
        <w:tc>
          <w:tcPr>
            <w:tcW w:w="46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документа и (или) сведений</w:t>
            </w:r>
          </w:p>
        </w:tc>
        <w:tc>
          <w:tcPr>
            <w:tcW w:w="809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5251CB" w:rsidTr="005251CB">
        <w:trPr>
          <w:trHeight w:val="240"/>
        </w:trPr>
        <w:tc>
          <w:tcPr>
            <w:tcW w:w="46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809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5251CB" w:rsidRDefault="005251CB" w:rsidP="005251C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5251CB" w:rsidRDefault="005251CB" w:rsidP="005251CB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5251CB" w:rsidRDefault="005251CB" w:rsidP="005251C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7"/>
        <w:gridCol w:w="1575"/>
        <w:gridCol w:w="2208"/>
      </w:tblGrid>
      <w:tr w:rsidR="005251CB" w:rsidTr="005251CB">
        <w:trPr>
          <w:trHeight w:val="240"/>
        </w:trPr>
        <w:tc>
          <w:tcPr>
            <w:tcW w:w="809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действия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представления</w:t>
            </w:r>
          </w:p>
        </w:tc>
      </w:tr>
      <w:tr w:rsidR="005251CB" w:rsidTr="005251CB">
        <w:trPr>
          <w:trHeight w:val="240"/>
        </w:trPr>
        <w:tc>
          <w:tcPr>
            <w:tcW w:w="809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251CB" w:rsidRDefault="005251CB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251CB" w:rsidRDefault="005251CB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251CB" w:rsidRDefault="005251CB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51CB" w:rsidTr="005251CB">
        <w:trPr>
          <w:trHeight w:val="240"/>
        </w:trPr>
        <w:tc>
          <w:tcPr>
            <w:tcW w:w="809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об исключении жилого помещения государственного жилищного фонда из состава арендного жилья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бессрочно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письменная</w:t>
            </w:r>
          </w:p>
        </w:tc>
      </w:tr>
    </w:tbl>
    <w:p w:rsidR="005251CB" w:rsidRDefault="005251CB" w:rsidP="005251C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5251CB" w:rsidRDefault="005251CB" w:rsidP="005251C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5251CB" w:rsidRDefault="005251CB" w:rsidP="005251CB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4. Порядок подачи (отзыва) административной жалобы:</w:t>
      </w:r>
    </w:p>
    <w:p w:rsidR="005251CB" w:rsidRDefault="005251CB" w:rsidP="005251C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7"/>
        <w:gridCol w:w="2843"/>
      </w:tblGrid>
      <w:tr w:rsidR="005251CB" w:rsidTr="005251CB">
        <w:trPr>
          <w:trHeight w:val="240"/>
        </w:trPr>
        <w:tc>
          <w:tcPr>
            <w:tcW w:w="925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4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5251CB" w:rsidTr="005251CB">
        <w:trPr>
          <w:trHeight w:val="240"/>
        </w:trPr>
        <w:tc>
          <w:tcPr>
            <w:tcW w:w="925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</w:t>
            </w:r>
            <w:r>
              <w:rPr>
                <w:color w:val="000000"/>
                <w:sz w:val="20"/>
                <w:szCs w:val="20"/>
              </w:rPr>
              <w:br/>
              <w:t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34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1CB" w:rsidRDefault="005251CB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письменная</w:t>
            </w:r>
          </w:p>
        </w:tc>
      </w:tr>
    </w:tbl>
    <w:p w:rsidR="005251CB" w:rsidRDefault="005251CB" w:rsidP="005251C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5251CB" w:rsidRDefault="005251CB">
      <w:pPr>
        <w:rPr>
          <w:color w:val="000000"/>
        </w:rPr>
      </w:pPr>
      <w:r>
        <w:rPr>
          <w:color w:val="000000"/>
        </w:rPr>
        <w:br w:type="page"/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</w:p>
    <w:p w:rsidR="00FF1A2B" w:rsidRPr="00FF1A2B" w:rsidRDefault="00F31A73" w:rsidP="00587957">
      <w:pPr>
        <w:ind w:left="396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Костюковичский</w:t>
      </w:r>
      <w:proofErr w:type="spellEnd"/>
      <w:r>
        <w:rPr>
          <w:sz w:val="30"/>
          <w:szCs w:val="30"/>
        </w:rPr>
        <w:t xml:space="preserve"> </w:t>
      </w:r>
      <w:r w:rsidR="00FF1A2B" w:rsidRPr="00FF1A2B">
        <w:rPr>
          <w:sz w:val="30"/>
          <w:szCs w:val="30"/>
        </w:rPr>
        <w:t xml:space="preserve">районный </w:t>
      </w:r>
    </w:p>
    <w:p w:rsidR="00587957" w:rsidRPr="00FF1A2B" w:rsidRDefault="00FF1A2B" w:rsidP="00587957">
      <w:pPr>
        <w:ind w:left="3960"/>
        <w:jc w:val="both"/>
        <w:rPr>
          <w:sz w:val="30"/>
          <w:szCs w:val="30"/>
        </w:rPr>
      </w:pPr>
      <w:r w:rsidRPr="00FF1A2B">
        <w:rPr>
          <w:sz w:val="30"/>
          <w:szCs w:val="30"/>
        </w:rPr>
        <w:t>исполнительный комитет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ind w:left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 руководителя ЮЛ  или ИП)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тел:_______________________________</w:t>
      </w:r>
    </w:p>
    <w:p w:rsidR="00587957" w:rsidRPr="00065154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л(</w:t>
      </w:r>
      <w:proofErr w:type="spellStart"/>
      <w:proofErr w:type="gramEnd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>):__________________________</w:t>
      </w:r>
    </w:p>
    <w:p w:rsidR="008C4ED9" w:rsidRPr="00CC41E6" w:rsidRDefault="008C4ED9" w:rsidP="006D7F94">
      <w:pPr>
        <w:tabs>
          <w:tab w:val="left" w:pos="5640"/>
          <w:tab w:val="left" w:pos="6240"/>
        </w:tabs>
        <w:jc w:val="center"/>
        <w:rPr>
          <w:sz w:val="28"/>
          <w:szCs w:val="28"/>
        </w:rPr>
      </w:pPr>
    </w:p>
    <w:p w:rsidR="008C4ED9" w:rsidRPr="00CC41E6" w:rsidRDefault="008C4ED9" w:rsidP="008C4ED9">
      <w:pPr>
        <w:jc w:val="right"/>
        <w:rPr>
          <w:sz w:val="28"/>
          <w:szCs w:val="28"/>
        </w:rPr>
      </w:pPr>
    </w:p>
    <w:p w:rsidR="008C4ED9" w:rsidRPr="00887656" w:rsidRDefault="00887656" w:rsidP="008C4ED9">
      <w:pPr>
        <w:jc w:val="center"/>
        <w:rPr>
          <w:b/>
          <w:sz w:val="30"/>
          <w:szCs w:val="30"/>
        </w:rPr>
      </w:pPr>
      <w:r w:rsidRPr="00887656">
        <w:rPr>
          <w:b/>
          <w:sz w:val="30"/>
          <w:szCs w:val="30"/>
        </w:rPr>
        <w:t>ЗАЯВЛЕНИЕ</w:t>
      </w:r>
    </w:p>
    <w:p w:rsidR="008C4ED9" w:rsidRPr="007D5AAF" w:rsidRDefault="008C4ED9" w:rsidP="008C4ED9">
      <w:pPr>
        <w:jc w:val="center"/>
        <w:rPr>
          <w:sz w:val="30"/>
          <w:szCs w:val="30"/>
        </w:rPr>
      </w:pPr>
    </w:p>
    <w:p w:rsidR="008C4ED9" w:rsidRPr="00D205CD" w:rsidRDefault="005604F2" w:rsidP="00FF6526">
      <w:pPr>
        <w:ind w:firstLine="720"/>
        <w:jc w:val="both"/>
        <w:rPr>
          <w:sz w:val="30"/>
          <w:szCs w:val="30"/>
        </w:rPr>
      </w:pPr>
      <w:r w:rsidRPr="005604F2">
        <w:rPr>
          <w:sz w:val="30"/>
          <w:szCs w:val="30"/>
        </w:rPr>
        <w:t>Исключение жилого помещения государственного жилищного фонда из состава арендного жилья</w:t>
      </w:r>
      <w:r w:rsidR="00836BD0" w:rsidRPr="005604F2">
        <w:rPr>
          <w:sz w:val="30"/>
          <w:szCs w:val="30"/>
        </w:rPr>
        <w:t xml:space="preserve"> </w:t>
      </w:r>
      <w:r w:rsidR="008C4ED9" w:rsidRPr="005604F2">
        <w:rPr>
          <w:sz w:val="30"/>
          <w:szCs w:val="30"/>
        </w:rPr>
        <w:t>адресу:</w:t>
      </w:r>
      <w:r w:rsidR="00D52C8E" w:rsidRPr="00D205CD">
        <w:rPr>
          <w:sz w:val="30"/>
          <w:szCs w:val="30"/>
        </w:rPr>
        <w:t xml:space="preserve"> </w:t>
      </w:r>
      <w:r w:rsidR="00FF6526" w:rsidRPr="00D205CD">
        <w:rPr>
          <w:sz w:val="30"/>
          <w:szCs w:val="30"/>
        </w:rPr>
        <w:t>___</w:t>
      </w:r>
      <w:r w:rsidR="00FF1A2B">
        <w:rPr>
          <w:sz w:val="30"/>
          <w:szCs w:val="30"/>
        </w:rPr>
        <w:t>___</w:t>
      </w:r>
      <w:r w:rsidR="007D5AAF" w:rsidRPr="00D205CD">
        <w:rPr>
          <w:sz w:val="30"/>
          <w:szCs w:val="30"/>
        </w:rPr>
        <w:t>_______</w:t>
      </w:r>
      <w:r w:rsidR="00B67687" w:rsidRPr="00D205CD">
        <w:rPr>
          <w:sz w:val="30"/>
          <w:szCs w:val="30"/>
        </w:rPr>
        <w:t>_______</w:t>
      </w:r>
      <w:r w:rsidR="00D52C8E" w:rsidRPr="00D205CD">
        <w:rPr>
          <w:sz w:val="30"/>
          <w:szCs w:val="30"/>
        </w:rPr>
        <w:t>______</w:t>
      </w:r>
    </w:p>
    <w:p w:rsidR="00065154" w:rsidRPr="007D5AAF" w:rsidRDefault="00065154" w:rsidP="0006515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 w:rsidR="00836BD0">
        <w:rPr>
          <w:sz w:val="30"/>
          <w:szCs w:val="30"/>
        </w:rPr>
        <w:t>_______________________________</w:t>
      </w:r>
    </w:p>
    <w:p w:rsidR="0046625F" w:rsidRDefault="0046625F" w:rsidP="00A626F1">
      <w:pPr>
        <w:jc w:val="both"/>
        <w:rPr>
          <w:sz w:val="30"/>
          <w:szCs w:val="30"/>
        </w:rPr>
      </w:pPr>
    </w:p>
    <w:p w:rsidR="00FF6526" w:rsidRPr="007D5AAF" w:rsidRDefault="00FF6526" w:rsidP="00A626F1">
      <w:pPr>
        <w:jc w:val="both"/>
        <w:rPr>
          <w:sz w:val="30"/>
          <w:szCs w:val="30"/>
        </w:rPr>
      </w:pPr>
    </w:p>
    <w:p w:rsidR="00065154" w:rsidRPr="00DB00F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06515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06515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:rsidR="00065154" w:rsidRPr="00DB00F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 w:rsidR="00FF1A2B"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065154" w:rsidRPr="00556A92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65154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1A2B" w:rsidRDefault="00FF1A2B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154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1A6">
        <w:rPr>
          <w:rFonts w:ascii="Times New Roman" w:hAnsi="Times New Roman" w:cs="Times New Roman"/>
          <w:sz w:val="28"/>
          <w:szCs w:val="28"/>
        </w:rPr>
        <w:t>других государств</w:t>
      </w:r>
      <w:r>
        <w:rPr>
          <w:rFonts w:ascii="Times New Roman" w:hAnsi="Times New Roman" w:cs="Times New Roman"/>
          <w:sz w:val="28"/>
          <w:szCs w:val="28"/>
        </w:rPr>
        <w:t>енных органов.</w:t>
      </w:r>
    </w:p>
    <w:p w:rsidR="00065154" w:rsidRPr="006121A6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154" w:rsidRDefault="00065154" w:rsidP="000651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</w:t>
      </w:r>
      <w:r w:rsidR="00FF1A2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65154" w:rsidRPr="007130D6" w:rsidRDefault="00065154" w:rsidP="000651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647A2">
        <w:rPr>
          <w:rFonts w:ascii="Times New Roman" w:hAnsi="Times New Roman" w:cs="Times New Roman"/>
          <w:sz w:val="24"/>
          <w:szCs w:val="24"/>
        </w:rPr>
        <w:t>(подпись)</w:t>
      </w:r>
    </w:p>
    <w:p w:rsidR="00065154" w:rsidRPr="000E3773" w:rsidRDefault="00065154" w:rsidP="00065154">
      <w:pPr>
        <w:jc w:val="both"/>
        <w:rPr>
          <w:sz w:val="30"/>
          <w:szCs w:val="30"/>
        </w:rPr>
      </w:pPr>
    </w:p>
    <w:p w:rsidR="008A0DAA" w:rsidRPr="00CC41E6" w:rsidRDefault="008A0DAA" w:rsidP="00065154">
      <w:pPr>
        <w:jc w:val="both"/>
        <w:rPr>
          <w:b/>
          <w:sz w:val="28"/>
          <w:szCs w:val="28"/>
        </w:rPr>
      </w:pPr>
    </w:p>
    <w:sectPr w:rsidR="008A0DAA" w:rsidRPr="00CC41E6" w:rsidSect="005251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1EED"/>
    <w:multiLevelType w:val="hybridMultilevel"/>
    <w:tmpl w:val="45F67E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D7F2F"/>
    <w:multiLevelType w:val="hybridMultilevel"/>
    <w:tmpl w:val="261EB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96479"/>
    <w:rsid w:val="00013D66"/>
    <w:rsid w:val="00065154"/>
    <w:rsid w:val="00066D11"/>
    <w:rsid w:val="000A0171"/>
    <w:rsid w:val="001410B2"/>
    <w:rsid w:val="001A22DB"/>
    <w:rsid w:val="001B3136"/>
    <w:rsid w:val="001C0703"/>
    <w:rsid w:val="001F1B7A"/>
    <w:rsid w:val="002051DC"/>
    <w:rsid w:val="0023599E"/>
    <w:rsid w:val="0024725E"/>
    <w:rsid w:val="002D3570"/>
    <w:rsid w:val="002E1E25"/>
    <w:rsid w:val="00344F35"/>
    <w:rsid w:val="003B720E"/>
    <w:rsid w:val="003C0F45"/>
    <w:rsid w:val="003C1E0C"/>
    <w:rsid w:val="00442036"/>
    <w:rsid w:val="00464C36"/>
    <w:rsid w:val="0046625F"/>
    <w:rsid w:val="004C58BE"/>
    <w:rsid w:val="005251CB"/>
    <w:rsid w:val="0054680C"/>
    <w:rsid w:val="005472F9"/>
    <w:rsid w:val="005604F2"/>
    <w:rsid w:val="00565744"/>
    <w:rsid w:val="00584B73"/>
    <w:rsid w:val="00587957"/>
    <w:rsid w:val="006D7F94"/>
    <w:rsid w:val="006F01C9"/>
    <w:rsid w:val="006F747A"/>
    <w:rsid w:val="00705939"/>
    <w:rsid w:val="007560D6"/>
    <w:rsid w:val="0076790A"/>
    <w:rsid w:val="00787492"/>
    <w:rsid w:val="007C4AC8"/>
    <w:rsid w:val="007D5AAF"/>
    <w:rsid w:val="00810BEC"/>
    <w:rsid w:val="008149DA"/>
    <w:rsid w:val="00826C24"/>
    <w:rsid w:val="00836BD0"/>
    <w:rsid w:val="00841D7C"/>
    <w:rsid w:val="00887656"/>
    <w:rsid w:val="00896479"/>
    <w:rsid w:val="008A0DAA"/>
    <w:rsid w:val="008A7D1A"/>
    <w:rsid w:val="008C4ED9"/>
    <w:rsid w:val="00917067"/>
    <w:rsid w:val="009C0E7D"/>
    <w:rsid w:val="009D39EA"/>
    <w:rsid w:val="009E557F"/>
    <w:rsid w:val="009F7186"/>
    <w:rsid w:val="00A1063A"/>
    <w:rsid w:val="00A33901"/>
    <w:rsid w:val="00A37727"/>
    <w:rsid w:val="00A60A2C"/>
    <w:rsid w:val="00A626F1"/>
    <w:rsid w:val="00AA2CD3"/>
    <w:rsid w:val="00AE7DE4"/>
    <w:rsid w:val="00AF0557"/>
    <w:rsid w:val="00B05EE7"/>
    <w:rsid w:val="00B67687"/>
    <w:rsid w:val="00BE34B1"/>
    <w:rsid w:val="00BF4001"/>
    <w:rsid w:val="00C00360"/>
    <w:rsid w:val="00C417A7"/>
    <w:rsid w:val="00CC41E6"/>
    <w:rsid w:val="00CF0277"/>
    <w:rsid w:val="00D205CD"/>
    <w:rsid w:val="00D52C8E"/>
    <w:rsid w:val="00D921C9"/>
    <w:rsid w:val="00DB4A71"/>
    <w:rsid w:val="00DD37B4"/>
    <w:rsid w:val="00DE23DE"/>
    <w:rsid w:val="00E16FEF"/>
    <w:rsid w:val="00E37C67"/>
    <w:rsid w:val="00EA62A3"/>
    <w:rsid w:val="00F00079"/>
    <w:rsid w:val="00F20790"/>
    <w:rsid w:val="00F31A73"/>
    <w:rsid w:val="00F61CDF"/>
    <w:rsid w:val="00F70B8E"/>
    <w:rsid w:val="00F75324"/>
    <w:rsid w:val="00FB711B"/>
    <w:rsid w:val="00FF0961"/>
    <w:rsid w:val="00FF1A2B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99E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23599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651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6515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0651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apu1">
    <w:name w:val="capu1"/>
    <w:basedOn w:val="a"/>
    <w:rsid w:val="005251CB"/>
    <w:pPr>
      <w:spacing w:before="100" w:beforeAutospacing="1" w:after="100" w:afterAutospacing="1"/>
    </w:pPr>
  </w:style>
  <w:style w:type="paragraph" w:customStyle="1" w:styleId="cap1">
    <w:name w:val="cap1"/>
    <w:basedOn w:val="a"/>
    <w:rsid w:val="005251C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251CB"/>
    <w:rPr>
      <w:color w:val="0000FF"/>
      <w:u w:val="single"/>
    </w:rPr>
  </w:style>
  <w:style w:type="paragraph" w:customStyle="1" w:styleId="titleu">
    <w:name w:val="titleu"/>
    <w:basedOn w:val="a"/>
    <w:rsid w:val="005251CB"/>
    <w:pPr>
      <w:spacing w:before="100" w:beforeAutospacing="1" w:after="100" w:afterAutospacing="1"/>
    </w:pPr>
  </w:style>
  <w:style w:type="character" w:customStyle="1" w:styleId="an">
    <w:name w:val="an"/>
    <w:basedOn w:val="a0"/>
    <w:rsid w:val="005251CB"/>
  </w:style>
  <w:style w:type="paragraph" w:customStyle="1" w:styleId="point">
    <w:name w:val="point"/>
    <w:basedOn w:val="a"/>
    <w:rsid w:val="005251CB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5251CB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5251CB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5251C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251CB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table" w:styleId="a7">
    <w:name w:val="Table Grid"/>
    <w:basedOn w:val="a1"/>
    <w:uiPriority w:val="59"/>
    <w:rsid w:val="005251CB"/>
    <w:pPr>
      <w:ind w:firstLine="709"/>
      <w:jc w:val="both"/>
    </w:pPr>
    <w:rPr>
      <w:rFonts w:eastAsiaTheme="minorHAnsi"/>
      <w:sz w:val="3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144501&amp;a=68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bii.by/tx.dll?d=144501&amp;a=4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bii.by/tx.dll?d=244965&amp;a=1" TargetMode="External"/><Relationship Id="rId12" Type="http://schemas.openxmlformats.org/officeDocument/2006/relationships/hyperlink" Target="https://bii.by/tx.dll?d=466341&amp;a=5" TargetMode="External"/><Relationship Id="rId17" Type="http://schemas.openxmlformats.org/officeDocument/2006/relationships/hyperlink" Target="https://bii.by/tx.dll?d=599195&amp;links_doc=466341&amp;links_anch=65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bii.by/tx.dll?d=144501&amp;a=20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599195&amp;links_doc=466341&amp;links_anch=657" TargetMode="External"/><Relationship Id="rId11" Type="http://schemas.openxmlformats.org/officeDocument/2006/relationships/hyperlink" Target="https://bii.by/tx.dll?d=384924&amp;a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i.by/ps_f.dll?d=599195&amp;a=25" TargetMode="External"/><Relationship Id="rId10" Type="http://schemas.openxmlformats.org/officeDocument/2006/relationships/hyperlink" Target="https://bii.by/tx.dll?d=459661&amp;a=10" TargetMode="External"/><Relationship Id="rId19" Type="http://schemas.openxmlformats.org/officeDocument/2006/relationships/hyperlink" Target="https://bii.by/tx.dll?d=144501&amp;a=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tx.dll?d=347250&amp;a=1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DD357-B231-4893-BFE1-3DD5EE26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УП «Жилье»</vt:lpstr>
    </vt:vector>
  </TitlesOfParts>
  <Company>Организация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УП «Жилье»</dc:title>
  <dc:creator>Валентина</dc:creator>
  <cp:lastModifiedBy>Куст Ольга Михайловна</cp:lastModifiedBy>
  <cp:revision>2</cp:revision>
  <cp:lastPrinted>2019-04-03T08:11:00Z</cp:lastPrinted>
  <dcterms:created xsi:type="dcterms:W3CDTF">2024-03-09T08:42:00Z</dcterms:created>
  <dcterms:modified xsi:type="dcterms:W3CDTF">2024-03-09T08:42:00Z</dcterms:modified>
</cp:coreProperties>
</file>