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201A" w14:textId="77777777" w:rsidR="00D10DAA" w:rsidRDefault="00D10DAA" w:rsidP="00D10DAA">
      <w:pPr>
        <w:jc w:val="center"/>
        <w:rPr>
          <w:sz w:val="28"/>
          <w:szCs w:val="28"/>
        </w:rPr>
      </w:pPr>
      <w:r w:rsidRPr="002C2403">
        <w:rPr>
          <w:sz w:val="28"/>
          <w:szCs w:val="28"/>
        </w:rPr>
        <w:t xml:space="preserve">АДМИНИСТРАТИВНАЯ ПРОЦЕДУРА № </w:t>
      </w:r>
      <w:r>
        <w:rPr>
          <w:sz w:val="28"/>
          <w:szCs w:val="28"/>
        </w:rPr>
        <w:t>16.6.4</w:t>
      </w:r>
      <w:r w:rsidRPr="008C753C">
        <w:rPr>
          <w:sz w:val="28"/>
          <w:szCs w:val="28"/>
        </w:rPr>
        <w:t xml:space="preserve">. </w:t>
      </w:r>
    </w:p>
    <w:p w14:paraId="55EC443C" w14:textId="77777777" w:rsidR="00D10DAA" w:rsidRDefault="00D10DAA" w:rsidP="00D10DAA">
      <w:pPr>
        <w:jc w:val="center"/>
        <w:rPr>
          <w:sz w:val="28"/>
          <w:szCs w:val="28"/>
        </w:rPr>
      </w:pPr>
    </w:p>
    <w:p w14:paraId="640293E0" w14:textId="77777777" w:rsidR="00D10DAA" w:rsidRPr="00D10DAA" w:rsidRDefault="00D10DAA" w:rsidP="00D10DAA">
      <w:pPr>
        <w:jc w:val="center"/>
        <w:rPr>
          <w:sz w:val="28"/>
          <w:szCs w:val="28"/>
        </w:rPr>
      </w:pPr>
      <w:r w:rsidRPr="00D10DAA">
        <w:rPr>
          <w:b/>
          <w:bCs/>
          <w:color w:val="000000"/>
          <w:sz w:val="28"/>
          <w:szCs w:val="28"/>
          <w:shd w:val="clear" w:color="auto" w:fill="FFFFFF"/>
        </w:rPr>
        <w:t>Получение решения о согласовании использования не по назначению блокированного, одноквартирного жилого дома или его части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3500"/>
        <w:gridCol w:w="6247"/>
      </w:tblGrid>
      <w:tr w:rsidR="00D10DAA" w:rsidRPr="000C4E56" w14:paraId="3A036E6F" w14:textId="77777777" w:rsidTr="008C7388">
        <w:tc>
          <w:tcPr>
            <w:tcW w:w="3500" w:type="dxa"/>
          </w:tcPr>
          <w:p w14:paraId="51EFEFA9" w14:textId="77777777" w:rsidR="00D10DAA" w:rsidRPr="000C4E56" w:rsidRDefault="00D10DAA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Документы, предоставляемые заявителем</w:t>
            </w:r>
          </w:p>
        </w:tc>
        <w:tc>
          <w:tcPr>
            <w:tcW w:w="6247" w:type="dxa"/>
          </w:tcPr>
          <w:p w14:paraId="7CCA06D3" w14:textId="77777777" w:rsidR="00D10DAA" w:rsidRPr="000C4E56" w:rsidRDefault="00D10DAA" w:rsidP="008C7388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6D74C416" w14:textId="77777777" w:rsidR="00D10DAA" w:rsidRPr="000C4E56" w:rsidRDefault="00D10DAA" w:rsidP="008C7388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технический паспорт;</w:t>
            </w:r>
          </w:p>
          <w:p w14:paraId="33936E83" w14:textId="77777777" w:rsidR="00D10DAA" w:rsidRPr="000C4E56" w:rsidRDefault="00D10DAA" w:rsidP="00D10DAA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DAA">
              <w:rPr>
                <w:rFonts w:ascii="Times New Roman" w:hAnsi="Times New Roman" w:cs="Times New Roman"/>
                <w:sz w:val="28"/>
                <w:szCs w:val="28"/>
              </w:rPr>
              <w:t>согласие всех собственников жилого помещения, находящегося в общей собственности</w:t>
            </w:r>
          </w:p>
        </w:tc>
      </w:tr>
      <w:tr w:rsidR="00D10DAA" w:rsidRPr="000C4E56" w14:paraId="50A24B95" w14:textId="77777777" w:rsidTr="008C7388">
        <w:tc>
          <w:tcPr>
            <w:tcW w:w="3500" w:type="dxa"/>
          </w:tcPr>
          <w:p w14:paraId="30B05FCF" w14:textId="77777777" w:rsidR="00D10DAA" w:rsidRPr="000C4E56" w:rsidRDefault="00D10DAA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247" w:type="dxa"/>
          </w:tcPr>
          <w:p w14:paraId="7958469C" w14:textId="77777777" w:rsidR="00D10DAA" w:rsidRPr="000C4E56" w:rsidRDefault="00D10DAA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14:paraId="4A99DAA3" w14:textId="77777777" w:rsidR="00D10DAA" w:rsidRPr="000C4E56" w:rsidRDefault="00D10DAA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584BF" w14:textId="77777777" w:rsidR="00D10DAA" w:rsidRPr="000C4E56" w:rsidRDefault="00D10DAA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10DAA" w:rsidRPr="000C4E56" w14:paraId="44A402B1" w14:textId="77777777" w:rsidTr="008C7388">
        <w:tc>
          <w:tcPr>
            <w:tcW w:w="3500" w:type="dxa"/>
          </w:tcPr>
          <w:p w14:paraId="7D3A75CE" w14:textId="77777777" w:rsidR="00D10DAA" w:rsidRPr="000C4E56" w:rsidRDefault="00D10DAA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6247" w:type="dxa"/>
          </w:tcPr>
          <w:p w14:paraId="46C66881" w14:textId="77777777" w:rsidR="00D10DAA" w:rsidRPr="000C4E56" w:rsidRDefault="00D10DAA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дней</w:t>
            </w:r>
            <w:r w:rsidRPr="00D10DAA">
              <w:rPr>
                <w:rFonts w:ascii="Times New Roman" w:hAnsi="Times New Roman" w:cs="Times New Roman"/>
                <w:sz w:val="28"/>
                <w:szCs w:val="28"/>
              </w:rPr>
              <w:t>, а в случае запроса документов и (или) сведений от других государственных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10DAA">
              <w:rPr>
                <w:rFonts w:ascii="Times New Roman" w:hAnsi="Times New Roman" w:cs="Times New Roman"/>
                <w:sz w:val="28"/>
                <w:szCs w:val="28"/>
              </w:rPr>
              <w:t>органов, иных организаций – 1 месяц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0DAA" w:rsidRPr="000C4E56" w14:paraId="1C2BCD90" w14:textId="77777777" w:rsidTr="008C7388">
        <w:tc>
          <w:tcPr>
            <w:tcW w:w="3500" w:type="dxa"/>
          </w:tcPr>
          <w:p w14:paraId="6308145E" w14:textId="77777777" w:rsidR="00D10DAA" w:rsidRPr="000C4E56" w:rsidRDefault="00D10DAA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247" w:type="dxa"/>
          </w:tcPr>
          <w:p w14:paraId="480252B5" w14:textId="77777777" w:rsidR="00D10DAA" w:rsidRPr="000C4E56" w:rsidRDefault="00D10DAA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D10DAA" w:rsidRPr="000C4E56" w14:paraId="20C4788A" w14:textId="77777777" w:rsidTr="008C7388">
        <w:tc>
          <w:tcPr>
            <w:tcW w:w="3500" w:type="dxa"/>
          </w:tcPr>
          <w:p w14:paraId="5779BEB0" w14:textId="77777777" w:rsidR="00D10DAA" w:rsidRPr="000C4E56" w:rsidRDefault="00386EE3" w:rsidP="008C7388">
            <w:pPr>
              <w:ind w:firstLine="0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 и (или) сведения</w:t>
            </w:r>
            <w:r w:rsidR="00D10DAA" w:rsidRPr="000C4E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запрашиваемые (получаемые) уполномоченным органом самостоятельно</w:t>
            </w:r>
          </w:p>
        </w:tc>
        <w:tc>
          <w:tcPr>
            <w:tcW w:w="6247" w:type="dxa"/>
          </w:tcPr>
          <w:p w14:paraId="74955AAC" w14:textId="77777777" w:rsidR="00D10DAA" w:rsidRPr="000C4E56" w:rsidRDefault="00D10DAA" w:rsidP="008C7388">
            <w:pPr>
              <w:pStyle w:val="aa"/>
              <w:numPr>
                <w:ilvl w:val="0"/>
                <w:numId w:val="2"/>
              </w:numPr>
              <w:tabs>
                <w:tab w:val="left" w:pos="328"/>
              </w:tabs>
              <w:ind w:left="44" w:firstLine="0"/>
              <w:rPr>
                <w:rFonts w:eastAsia="Calibri"/>
                <w:sz w:val="28"/>
                <w:szCs w:val="28"/>
              </w:rPr>
            </w:pPr>
            <w:r w:rsidRPr="000C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</w:tr>
    </w:tbl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61BEE" w:rsidRPr="00961BEE" w14:paraId="74506E61" w14:textId="77777777" w:rsidTr="00384008">
        <w:trPr>
          <w:trHeight w:val="238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2966F" w14:textId="77777777" w:rsidR="00384008" w:rsidRDefault="00384008" w:rsidP="00961BEE">
            <w:pPr>
              <w:pStyle w:val="capu1"/>
              <w:spacing w:before="0" w:beforeAutospacing="0" w:after="120" w:afterAutospacing="0"/>
              <w:jc w:val="right"/>
              <w:rPr>
                <w:b/>
                <w:sz w:val="30"/>
                <w:szCs w:val="30"/>
              </w:rPr>
            </w:pPr>
          </w:p>
          <w:p w14:paraId="47560137" w14:textId="77777777" w:rsidR="00384008" w:rsidRDefault="00384008" w:rsidP="00961BEE">
            <w:pPr>
              <w:pStyle w:val="capu1"/>
              <w:spacing w:before="0" w:beforeAutospacing="0" w:after="120" w:afterAutospacing="0"/>
              <w:jc w:val="right"/>
              <w:rPr>
                <w:b/>
                <w:sz w:val="30"/>
                <w:szCs w:val="30"/>
              </w:rPr>
            </w:pPr>
          </w:p>
          <w:p w14:paraId="529D784E" w14:textId="77777777" w:rsidR="00384008" w:rsidRDefault="00384008" w:rsidP="00961BEE">
            <w:pPr>
              <w:pStyle w:val="capu1"/>
              <w:spacing w:before="0" w:beforeAutospacing="0" w:after="120" w:afterAutospacing="0"/>
              <w:jc w:val="right"/>
              <w:rPr>
                <w:b/>
                <w:sz w:val="30"/>
                <w:szCs w:val="30"/>
              </w:rPr>
            </w:pPr>
          </w:p>
          <w:p w14:paraId="420D837B" w14:textId="77777777" w:rsidR="00384008" w:rsidRDefault="00384008" w:rsidP="00961BEE">
            <w:pPr>
              <w:pStyle w:val="capu1"/>
              <w:spacing w:before="0" w:beforeAutospacing="0" w:after="120" w:afterAutospacing="0"/>
              <w:jc w:val="right"/>
              <w:rPr>
                <w:b/>
                <w:sz w:val="30"/>
                <w:szCs w:val="30"/>
              </w:rPr>
            </w:pPr>
          </w:p>
          <w:p w14:paraId="2D5E6AE8" w14:textId="77777777" w:rsidR="00384008" w:rsidRDefault="00384008" w:rsidP="00961BEE">
            <w:pPr>
              <w:pStyle w:val="capu1"/>
              <w:spacing w:before="0" w:beforeAutospacing="0" w:after="120" w:afterAutospacing="0"/>
              <w:jc w:val="right"/>
              <w:rPr>
                <w:b/>
                <w:sz w:val="30"/>
                <w:szCs w:val="30"/>
              </w:rPr>
            </w:pPr>
          </w:p>
          <w:p w14:paraId="720D86C8" w14:textId="77777777" w:rsidR="00384008" w:rsidRDefault="00384008" w:rsidP="00961BEE">
            <w:pPr>
              <w:pStyle w:val="capu1"/>
              <w:spacing w:before="0" w:beforeAutospacing="0" w:after="120" w:afterAutospacing="0"/>
              <w:jc w:val="right"/>
              <w:rPr>
                <w:b/>
                <w:sz w:val="30"/>
                <w:szCs w:val="30"/>
              </w:rPr>
            </w:pPr>
          </w:p>
          <w:p w14:paraId="5B9F2941" w14:textId="77777777" w:rsidR="00384008" w:rsidRDefault="00384008" w:rsidP="00961BEE">
            <w:pPr>
              <w:pStyle w:val="capu1"/>
              <w:spacing w:before="0" w:beforeAutospacing="0" w:after="120" w:afterAutospacing="0"/>
              <w:jc w:val="right"/>
              <w:rPr>
                <w:b/>
                <w:sz w:val="30"/>
                <w:szCs w:val="30"/>
              </w:rPr>
            </w:pPr>
          </w:p>
          <w:p w14:paraId="59742C36" w14:textId="77777777" w:rsidR="00384008" w:rsidRDefault="00384008" w:rsidP="00961BEE">
            <w:pPr>
              <w:pStyle w:val="capu1"/>
              <w:spacing w:before="0" w:beforeAutospacing="0" w:after="120" w:afterAutospacing="0"/>
              <w:jc w:val="right"/>
              <w:rPr>
                <w:b/>
                <w:sz w:val="30"/>
                <w:szCs w:val="30"/>
              </w:rPr>
            </w:pPr>
          </w:p>
          <w:p w14:paraId="62ED4AC5" w14:textId="77777777" w:rsidR="00384008" w:rsidRDefault="00384008" w:rsidP="00961BEE">
            <w:pPr>
              <w:pStyle w:val="capu1"/>
              <w:spacing w:before="0" w:beforeAutospacing="0" w:after="120" w:afterAutospacing="0"/>
              <w:jc w:val="right"/>
              <w:rPr>
                <w:b/>
                <w:sz w:val="30"/>
                <w:szCs w:val="30"/>
              </w:rPr>
            </w:pPr>
          </w:p>
          <w:p w14:paraId="5594A410" w14:textId="77777777" w:rsidR="00384008" w:rsidRDefault="00384008" w:rsidP="00961BEE">
            <w:pPr>
              <w:pStyle w:val="capu1"/>
              <w:spacing w:before="0" w:beforeAutospacing="0" w:after="120" w:afterAutospacing="0"/>
              <w:jc w:val="right"/>
              <w:rPr>
                <w:b/>
                <w:sz w:val="30"/>
                <w:szCs w:val="30"/>
              </w:rPr>
            </w:pPr>
          </w:p>
          <w:p w14:paraId="01A6B33E" w14:textId="77777777" w:rsidR="00384008" w:rsidRDefault="00384008" w:rsidP="00961BEE">
            <w:pPr>
              <w:pStyle w:val="capu1"/>
              <w:spacing w:before="0" w:beforeAutospacing="0" w:after="120" w:afterAutospacing="0"/>
              <w:jc w:val="right"/>
              <w:rPr>
                <w:b/>
                <w:sz w:val="30"/>
                <w:szCs w:val="30"/>
              </w:rPr>
            </w:pPr>
          </w:p>
          <w:p w14:paraId="22D5AB02" w14:textId="77777777" w:rsidR="00384008" w:rsidRDefault="00384008" w:rsidP="00961BEE">
            <w:pPr>
              <w:pStyle w:val="capu1"/>
              <w:spacing w:before="0" w:beforeAutospacing="0" w:after="120" w:afterAutospacing="0"/>
              <w:jc w:val="right"/>
              <w:rPr>
                <w:b/>
                <w:sz w:val="30"/>
                <w:szCs w:val="30"/>
              </w:rPr>
            </w:pPr>
          </w:p>
          <w:p w14:paraId="0E7335AA" w14:textId="77777777" w:rsidR="00384008" w:rsidRDefault="00384008" w:rsidP="00961BEE">
            <w:pPr>
              <w:pStyle w:val="capu1"/>
              <w:spacing w:before="0" w:beforeAutospacing="0" w:after="120" w:afterAutospacing="0"/>
              <w:jc w:val="right"/>
              <w:rPr>
                <w:b/>
                <w:sz w:val="30"/>
                <w:szCs w:val="30"/>
              </w:rPr>
            </w:pPr>
          </w:p>
          <w:p w14:paraId="5BF48D4E" w14:textId="7A0E377A" w:rsidR="00961BEE" w:rsidRPr="00961BEE" w:rsidRDefault="00386EE3" w:rsidP="00961BEE">
            <w:pPr>
              <w:pStyle w:val="capu1"/>
              <w:spacing w:before="0" w:beforeAutospacing="0" w:after="120" w:afterAutospacing="0"/>
              <w:jc w:val="right"/>
              <w:rPr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sz w:val="30"/>
                <w:szCs w:val="30"/>
              </w:rPr>
              <w:lastRenderedPageBreak/>
              <w:tab/>
            </w:r>
            <w:r w:rsidR="00961BEE" w:rsidRPr="00961BEE">
              <w:rPr>
                <w:i/>
                <w:iCs/>
                <w:color w:val="000000" w:themeColor="text1"/>
                <w:sz w:val="22"/>
                <w:szCs w:val="22"/>
              </w:rPr>
              <w:t>УТВЕРЖДЕНО</w:t>
            </w:r>
          </w:p>
          <w:p w14:paraId="4FDDD857" w14:textId="77777777" w:rsidR="00961BEE" w:rsidRPr="00961BEE" w:rsidRDefault="00000000" w:rsidP="00961BEE">
            <w:pPr>
              <w:pStyle w:val="cap1"/>
              <w:spacing w:before="0" w:beforeAutospacing="0" w:after="0" w:afterAutospacing="0"/>
              <w:jc w:val="right"/>
              <w:rPr>
                <w:i/>
                <w:iCs/>
                <w:color w:val="000000" w:themeColor="text1"/>
                <w:sz w:val="22"/>
                <w:szCs w:val="22"/>
              </w:rPr>
            </w:pPr>
            <w:hyperlink r:id="rId8" w:anchor="a1" w:tooltip="+" w:history="1">
              <w:r w:rsidR="00961BEE" w:rsidRPr="00961BEE">
                <w:rPr>
                  <w:rStyle w:val="ab"/>
                  <w:i/>
                  <w:iCs/>
                  <w:color w:val="000000" w:themeColor="text1"/>
                  <w:sz w:val="22"/>
                  <w:szCs w:val="22"/>
                  <w:u w:val="none"/>
                </w:rPr>
                <w:t>Постановление</w:t>
              </w:r>
            </w:hyperlink>
            <w:r w:rsidR="00961BEE" w:rsidRPr="00961BEE">
              <w:rPr>
                <w:i/>
                <w:iCs/>
                <w:color w:val="000000" w:themeColor="text1"/>
                <w:sz w:val="22"/>
                <w:szCs w:val="22"/>
              </w:rPr>
              <w:br/>
              <w:t>Министерства жилищно-</w:t>
            </w:r>
            <w:r w:rsidR="00961BEE" w:rsidRPr="00961BEE">
              <w:rPr>
                <w:i/>
                <w:iCs/>
                <w:color w:val="000000" w:themeColor="text1"/>
                <w:sz w:val="22"/>
                <w:szCs w:val="22"/>
              </w:rPr>
              <w:br/>
              <w:t>коммунального хозяйства</w:t>
            </w:r>
            <w:r w:rsidR="00961BEE" w:rsidRPr="00961BEE">
              <w:rPr>
                <w:i/>
                <w:iCs/>
                <w:color w:val="000000" w:themeColor="text1"/>
                <w:sz w:val="22"/>
                <w:szCs w:val="22"/>
              </w:rPr>
              <w:br/>
              <w:t>Республики Беларусь</w:t>
            </w:r>
          </w:p>
          <w:p w14:paraId="0CC17273" w14:textId="77777777" w:rsidR="00961BEE" w:rsidRPr="00961BEE" w:rsidRDefault="00961BEE" w:rsidP="00961BEE">
            <w:pPr>
              <w:pStyle w:val="cap1"/>
              <w:spacing w:before="0" w:beforeAutospacing="0" w:after="0" w:afterAutospacing="0"/>
              <w:jc w:val="right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961BEE">
              <w:rPr>
                <w:i/>
                <w:iCs/>
                <w:color w:val="000000" w:themeColor="text1"/>
                <w:sz w:val="22"/>
                <w:szCs w:val="22"/>
              </w:rPr>
              <w:t>23.03.2022 № 5</w:t>
            </w:r>
          </w:p>
        </w:tc>
      </w:tr>
    </w:tbl>
    <w:p w14:paraId="4CA77FD1" w14:textId="77777777" w:rsidR="00961BEE" w:rsidRPr="00961BEE" w:rsidRDefault="00961BEE" w:rsidP="00961BEE">
      <w:pPr>
        <w:pStyle w:val="titleu"/>
        <w:shd w:val="clear" w:color="auto" w:fill="FFFFFF"/>
        <w:spacing w:before="360" w:beforeAutospacing="0" w:after="360" w:afterAutospacing="0"/>
        <w:rPr>
          <w:b/>
          <w:bCs/>
          <w:color w:val="000000"/>
          <w:sz w:val="28"/>
          <w:szCs w:val="28"/>
        </w:rPr>
      </w:pPr>
      <w:bookmarkStart w:id="0" w:name="a10"/>
      <w:bookmarkEnd w:id="0"/>
      <w:r w:rsidRPr="00961BEE">
        <w:rPr>
          <w:b/>
          <w:bCs/>
          <w:color w:val="000000"/>
          <w:sz w:val="28"/>
          <w:szCs w:val="28"/>
        </w:rPr>
        <w:lastRenderedPageBreak/>
        <w:t>РЕГЛАМЕНТ</w:t>
      </w:r>
      <w:r w:rsidRPr="00961BEE">
        <w:rPr>
          <w:b/>
          <w:bCs/>
          <w:color w:val="000000"/>
          <w:sz w:val="28"/>
          <w:szCs w:val="28"/>
        </w:rPr>
        <w:br/>
        <w:t>административной процедуры, осуществляемой в отношении субъектов хозяйствования, по подпункту 16.6.4 «Получение решения о согласовании использования не по назначению блокированного, одноквартирного жилого дома или его части»</w:t>
      </w:r>
    </w:p>
    <w:p w14:paraId="50DF4313" w14:textId="77777777" w:rsidR="00961BEE" w:rsidRPr="00961BEE" w:rsidRDefault="00961BEE" w:rsidP="00961BEE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961BEE">
        <w:rPr>
          <w:color w:val="000000"/>
          <w:sz w:val="28"/>
          <w:szCs w:val="28"/>
        </w:rPr>
        <w:t>1. Особенности осуществления административной процедуры:</w:t>
      </w:r>
    </w:p>
    <w:p w14:paraId="201D1B0D" w14:textId="77777777" w:rsidR="00961BEE" w:rsidRPr="00961BEE" w:rsidRDefault="00961BEE" w:rsidP="00961BEE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961BEE">
        <w:rPr>
          <w:color w:val="000000"/>
          <w:sz w:val="28"/>
          <w:szCs w:val="28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14:paraId="17A391D3" w14:textId="77777777" w:rsidR="00961BEE" w:rsidRPr="00961BEE" w:rsidRDefault="00961BEE" w:rsidP="00961BEE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961BEE">
        <w:rPr>
          <w:color w:val="000000"/>
          <w:sz w:val="28"/>
          <w:szCs w:val="28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14:paraId="791E05CB" w14:textId="77777777" w:rsidR="00961BEE" w:rsidRPr="00961BEE" w:rsidRDefault="00961BEE" w:rsidP="00961BEE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961BEE">
        <w:rPr>
          <w:color w:val="000000"/>
          <w:sz w:val="28"/>
          <w:szCs w:val="28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FD13B27" w14:textId="77777777" w:rsidR="00961BEE" w:rsidRPr="00961BEE" w:rsidRDefault="00961BEE" w:rsidP="00961BEE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961BEE">
        <w:rPr>
          <w:color w:val="000000"/>
          <w:sz w:val="28"/>
          <w:szCs w:val="28"/>
        </w:rPr>
        <w:t>Жилищный </w:t>
      </w:r>
      <w:hyperlink r:id="rId9" w:anchor="a1" w:tooltip="+" w:history="1">
        <w:r w:rsidRPr="00961BEE">
          <w:rPr>
            <w:rStyle w:val="ab"/>
            <w:sz w:val="28"/>
            <w:szCs w:val="28"/>
          </w:rPr>
          <w:t>кодекс</w:t>
        </w:r>
      </w:hyperlink>
      <w:r w:rsidRPr="00961BEE">
        <w:rPr>
          <w:color w:val="000000"/>
          <w:sz w:val="28"/>
          <w:szCs w:val="28"/>
        </w:rPr>
        <w:t> Республики Беларусь;</w:t>
      </w:r>
    </w:p>
    <w:p w14:paraId="68D70B20" w14:textId="77777777" w:rsidR="00961BEE" w:rsidRPr="00961BEE" w:rsidRDefault="00000000" w:rsidP="00961BEE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0" w:anchor="a68" w:tooltip="+" w:history="1">
        <w:r w:rsidR="00961BEE" w:rsidRPr="00961BEE">
          <w:rPr>
            <w:rStyle w:val="ab"/>
            <w:sz w:val="28"/>
            <w:szCs w:val="28"/>
          </w:rPr>
          <w:t>Закон</w:t>
        </w:r>
      </w:hyperlink>
      <w:r w:rsidR="00961BEE" w:rsidRPr="00961BEE">
        <w:rPr>
          <w:color w:val="000000"/>
          <w:sz w:val="28"/>
          <w:szCs w:val="28"/>
        </w:rPr>
        <w:t> Республики Беларусь от 28 октября 2008 г. № 433-З «Об основах административных процедур»;</w:t>
      </w:r>
    </w:p>
    <w:p w14:paraId="1CD2C12A" w14:textId="77777777" w:rsidR="00961BEE" w:rsidRPr="00961BEE" w:rsidRDefault="00000000" w:rsidP="00961BEE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1" w:anchor="a1" w:tooltip="+" w:history="1">
        <w:r w:rsidR="00961BEE" w:rsidRPr="00961BEE">
          <w:rPr>
            <w:rStyle w:val="ab"/>
            <w:sz w:val="28"/>
            <w:szCs w:val="28"/>
          </w:rPr>
          <w:t>Указ</w:t>
        </w:r>
      </w:hyperlink>
      <w:r w:rsidR="00961BEE" w:rsidRPr="00961BEE">
        <w:rPr>
          <w:color w:val="000000"/>
          <w:sz w:val="28"/>
          <w:szCs w:val="28"/>
        </w:rPr>
        <w:t> 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5C49295E" w14:textId="77777777" w:rsidR="00961BEE" w:rsidRPr="00961BEE" w:rsidRDefault="00000000" w:rsidP="00961BEE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2" w:anchor="a10" w:tooltip="+" w:history="1">
        <w:r w:rsidR="00961BEE" w:rsidRPr="00961BEE">
          <w:rPr>
            <w:rStyle w:val="ab"/>
            <w:sz w:val="28"/>
            <w:szCs w:val="28"/>
          </w:rPr>
          <w:t>Указ</w:t>
        </w:r>
      </w:hyperlink>
      <w:r w:rsidR="00961BEE" w:rsidRPr="00961BEE">
        <w:rPr>
          <w:color w:val="000000"/>
          <w:sz w:val="28"/>
          <w:szCs w:val="28"/>
        </w:rPr>
        <w:t> 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7DC4F56E" w14:textId="77777777" w:rsidR="00961BEE" w:rsidRPr="00961BEE" w:rsidRDefault="00000000" w:rsidP="00961BEE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3" w:anchor="a3" w:tooltip="+" w:history="1">
        <w:r w:rsidR="00961BEE" w:rsidRPr="00961BEE">
          <w:rPr>
            <w:rStyle w:val="ab"/>
            <w:sz w:val="28"/>
            <w:szCs w:val="28"/>
          </w:rPr>
          <w:t>постановление</w:t>
        </w:r>
      </w:hyperlink>
      <w:r w:rsidR="00961BEE" w:rsidRPr="00961BEE">
        <w:rPr>
          <w:color w:val="000000"/>
          <w:sz w:val="28"/>
          <w:szCs w:val="28"/>
        </w:rPr>
        <w:t> Совета Министров Республики Беларусь от 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14:paraId="08086796" w14:textId="77777777" w:rsidR="00961BEE" w:rsidRPr="00961BEE" w:rsidRDefault="00000000" w:rsidP="00961BEE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4" w:anchor="a5" w:tooltip="+" w:history="1">
        <w:r w:rsidR="00961BEE" w:rsidRPr="00961BEE">
          <w:rPr>
            <w:rStyle w:val="ab"/>
            <w:sz w:val="28"/>
            <w:szCs w:val="28"/>
          </w:rPr>
          <w:t>постановление</w:t>
        </w:r>
      </w:hyperlink>
      <w:r w:rsidR="00961BEE" w:rsidRPr="00961BEE">
        <w:rPr>
          <w:color w:val="000000"/>
          <w:sz w:val="28"/>
          <w:szCs w:val="28"/>
        </w:rPr>
        <w:t> 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457AAB40" w14:textId="77777777" w:rsidR="00961BEE" w:rsidRPr="00961BEE" w:rsidRDefault="00961BEE" w:rsidP="00961BEE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961BEE">
        <w:rPr>
          <w:color w:val="000000"/>
          <w:sz w:val="28"/>
          <w:szCs w:val="28"/>
        </w:rP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14:paraId="0E089437" w14:textId="77777777" w:rsidR="00961BEE" w:rsidRPr="00961BEE" w:rsidRDefault="00961BEE" w:rsidP="00961BEE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961BEE">
        <w:rPr>
          <w:color w:val="000000"/>
          <w:sz w:val="28"/>
          <w:szCs w:val="28"/>
        </w:rPr>
        <w:t>2. Документы и (или) сведения, необходимые для осуществления административной процедуры:</w:t>
      </w:r>
    </w:p>
    <w:p w14:paraId="7A2AACE9" w14:textId="77777777" w:rsidR="00961BEE" w:rsidRPr="00961BEE" w:rsidRDefault="00961BEE" w:rsidP="00961BEE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961BEE">
        <w:rPr>
          <w:color w:val="000000"/>
          <w:sz w:val="28"/>
          <w:szCs w:val="28"/>
        </w:rPr>
        <w:t>2.1. представляемые заинтересованным лицом:</w:t>
      </w:r>
    </w:p>
    <w:p w14:paraId="523869EB" w14:textId="77777777" w:rsidR="00961BEE" w:rsidRPr="00961BEE" w:rsidRDefault="00961BEE" w:rsidP="00961BEE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961BEE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2965"/>
        <w:gridCol w:w="4875"/>
      </w:tblGrid>
      <w:tr w:rsidR="00961BEE" w:rsidRPr="00961BEE" w14:paraId="212412FD" w14:textId="77777777" w:rsidTr="00961BEE">
        <w:trPr>
          <w:trHeight w:val="240"/>
        </w:trPr>
        <w:tc>
          <w:tcPr>
            <w:tcW w:w="17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443F33" w14:textId="77777777" w:rsidR="00961BEE" w:rsidRPr="00961BEE" w:rsidRDefault="00961BEE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341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3977C6" w14:textId="77777777" w:rsidR="00961BEE" w:rsidRPr="00961BEE" w:rsidRDefault="00961BEE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Требования, предъявляемые к документу и (или) сведениям</w:t>
            </w:r>
          </w:p>
        </w:tc>
        <w:tc>
          <w:tcPr>
            <w:tcW w:w="66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B49E26" w14:textId="77777777" w:rsidR="00961BEE" w:rsidRPr="00961BEE" w:rsidRDefault="00961BEE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Форма и порядок представления документа и (или) сведений</w:t>
            </w:r>
          </w:p>
        </w:tc>
      </w:tr>
      <w:tr w:rsidR="00961BEE" w:rsidRPr="00961BEE" w14:paraId="5347EE3A" w14:textId="77777777" w:rsidTr="00961BEE">
        <w:trPr>
          <w:trHeight w:val="240"/>
        </w:trPr>
        <w:tc>
          <w:tcPr>
            <w:tcW w:w="17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93F0F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341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529C6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документ должен соответствовать требованиям </w:t>
            </w:r>
            <w:hyperlink r:id="rId15" w:anchor="a191" w:tooltip="+" w:history="1">
              <w:r w:rsidRPr="00961BEE">
                <w:rPr>
                  <w:rStyle w:val="ab"/>
                  <w:sz w:val="28"/>
                  <w:szCs w:val="28"/>
                </w:rPr>
                <w:t>части первой</w:t>
              </w:r>
            </w:hyperlink>
            <w:r w:rsidRPr="00961BEE">
              <w:rPr>
                <w:color w:val="000000"/>
                <w:sz w:val="28"/>
                <w:szCs w:val="28"/>
              </w:rPr>
              <w:t> пункта 5 статьи 14 Закона Республики Беларусь «Об основах административных процедур»</w:t>
            </w:r>
          </w:p>
        </w:tc>
        <w:tc>
          <w:tcPr>
            <w:tcW w:w="6652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04634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в районный, городской исполнительный комитет, местную администрацию района в городе:</w:t>
            </w:r>
          </w:p>
          <w:p w14:paraId="29A2185A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 </w:t>
            </w:r>
          </w:p>
          <w:p w14:paraId="4A8CF7E8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в письменной форме:</w:t>
            </w:r>
          </w:p>
          <w:p w14:paraId="1D0F5680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 </w:t>
            </w:r>
          </w:p>
          <w:p w14:paraId="70763075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14:paraId="012DEF0B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 </w:t>
            </w:r>
          </w:p>
          <w:p w14:paraId="5A383A42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по почте;</w:t>
            </w:r>
          </w:p>
          <w:p w14:paraId="3A1FD7D6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 </w:t>
            </w:r>
          </w:p>
          <w:p w14:paraId="72A7F439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нарочным (курьером);</w:t>
            </w:r>
          </w:p>
          <w:p w14:paraId="3051137D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 </w:t>
            </w:r>
          </w:p>
          <w:p w14:paraId="316561BA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14:paraId="1962E2B5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 </w:t>
            </w:r>
          </w:p>
          <w:p w14:paraId="019FEDD5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в письменной форме:</w:t>
            </w:r>
          </w:p>
          <w:p w14:paraId="6F73C111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 </w:t>
            </w:r>
          </w:p>
          <w:p w14:paraId="46C2AE53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14:paraId="35A682FD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 </w:t>
            </w:r>
          </w:p>
          <w:p w14:paraId="4FFBFFC6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по почте;</w:t>
            </w:r>
          </w:p>
          <w:p w14:paraId="11901CEF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 </w:t>
            </w:r>
          </w:p>
          <w:p w14:paraId="60B2B3AC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lastRenderedPageBreak/>
              <w:t>нарочным (курьером);</w:t>
            </w:r>
          </w:p>
          <w:p w14:paraId="42A3A5D3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 </w:t>
            </w:r>
          </w:p>
          <w:p w14:paraId="1B1D6F6A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961BEE" w:rsidRPr="00961BEE" w14:paraId="1A41CC44" w14:textId="77777777" w:rsidTr="00961BEE">
        <w:trPr>
          <w:trHeight w:val="240"/>
        </w:trPr>
        <w:tc>
          <w:tcPr>
            <w:tcW w:w="17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B142B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технический паспорт</w:t>
            </w:r>
          </w:p>
        </w:tc>
        <w:tc>
          <w:tcPr>
            <w:tcW w:w="3419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17B15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32B96B7" w14:textId="77777777" w:rsidR="00961BEE" w:rsidRPr="00961BEE" w:rsidRDefault="00961BEE">
            <w:pPr>
              <w:rPr>
                <w:color w:val="000000"/>
                <w:sz w:val="28"/>
                <w:szCs w:val="28"/>
              </w:rPr>
            </w:pPr>
          </w:p>
        </w:tc>
      </w:tr>
      <w:tr w:rsidR="00961BEE" w:rsidRPr="00961BEE" w14:paraId="27DBC0C2" w14:textId="77777777" w:rsidTr="00961BEE">
        <w:trPr>
          <w:trHeight w:val="240"/>
        </w:trPr>
        <w:tc>
          <w:tcPr>
            <w:tcW w:w="17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601C0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согласие всех собственников жилого помещения, находящегося в общей собственности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DBE13AB" w14:textId="77777777" w:rsidR="00961BEE" w:rsidRPr="00961BEE" w:rsidRDefault="00961B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00556B2" w14:textId="77777777" w:rsidR="00961BEE" w:rsidRPr="00961BEE" w:rsidRDefault="00961BEE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347EA101" w14:textId="77777777" w:rsidR="00961BEE" w:rsidRPr="00961BEE" w:rsidRDefault="00961BEE" w:rsidP="00961BEE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961BEE">
        <w:rPr>
          <w:color w:val="000000"/>
          <w:sz w:val="28"/>
          <w:szCs w:val="28"/>
        </w:rPr>
        <w:t> </w:t>
      </w:r>
    </w:p>
    <w:p w14:paraId="78F3649F" w14:textId="77777777" w:rsidR="00961BEE" w:rsidRPr="00961BEE" w:rsidRDefault="00961BEE" w:rsidP="00961BEE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961BEE">
        <w:rPr>
          <w:color w:val="000000"/>
          <w:sz w:val="28"/>
          <w:szCs w:val="28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 </w:t>
      </w:r>
      <w:hyperlink r:id="rId16" w:anchor="a203" w:tooltip="+" w:history="1">
        <w:r w:rsidRPr="00961BEE">
          <w:rPr>
            <w:rStyle w:val="ab"/>
            <w:sz w:val="28"/>
            <w:szCs w:val="28"/>
          </w:rPr>
          <w:t>втором–седьмом</w:t>
        </w:r>
      </w:hyperlink>
      <w:r w:rsidRPr="00961BEE">
        <w:rPr>
          <w:color w:val="000000"/>
          <w:sz w:val="28"/>
          <w:szCs w:val="28"/>
        </w:rPr>
        <w:t> части первой пункта 2 статьи 15 Закона Республики Беларусь «Об основах административных процедур»;</w:t>
      </w:r>
    </w:p>
    <w:p w14:paraId="2C682FFC" w14:textId="77777777" w:rsidR="00961BEE" w:rsidRPr="00961BEE" w:rsidRDefault="00961BEE" w:rsidP="00961BEE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961BEE">
        <w:rPr>
          <w:color w:val="000000"/>
          <w:sz w:val="28"/>
          <w:szCs w:val="28"/>
        </w:rPr>
        <w:t>2.2. запрашиваемые (получаемые) уполномоченным органом самостоятельно:</w:t>
      </w:r>
    </w:p>
    <w:p w14:paraId="340592B7" w14:textId="77777777" w:rsidR="00961BEE" w:rsidRPr="00961BEE" w:rsidRDefault="00961BEE" w:rsidP="00961BEE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961BEE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6143"/>
      </w:tblGrid>
      <w:tr w:rsidR="00961BEE" w:rsidRPr="00961BEE" w14:paraId="37A3F53D" w14:textId="77777777" w:rsidTr="00961BEE">
        <w:trPr>
          <w:trHeight w:val="240"/>
        </w:trPr>
        <w:tc>
          <w:tcPr>
            <w:tcW w:w="41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DA4AD9" w14:textId="77777777" w:rsidR="00961BEE" w:rsidRPr="00961BEE" w:rsidRDefault="00961BEE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77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7654E7" w14:textId="77777777" w:rsidR="00961BEE" w:rsidRPr="00961BEE" w:rsidRDefault="00961BEE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961BEE" w:rsidRPr="00961BEE" w14:paraId="030774C1" w14:textId="77777777" w:rsidTr="00961BEE">
        <w:trPr>
          <w:trHeight w:val="240"/>
        </w:trPr>
        <w:tc>
          <w:tcPr>
            <w:tcW w:w="41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3FE67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77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375B5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5016B4FA" w14:textId="77777777" w:rsidR="00961BEE" w:rsidRPr="00961BEE" w:rsidRDefault="00961BEE" w:rsidP="00961BEE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961BEE">
        <w:rPr>
          <w:color w:val="000000"/>
          <w:sz w:val="28"/>
          <w:szCs w:val="28"/>
        </w:rPr>
        <w:t> </w:t>
      </w:r>
    </w:p>
    <w:p w14:paraId="1229C2C0" w14:textId="77777777" w:rsidR="00961BEE" w:rsidRPr="00961BEE" w:rsidRDefault="00961BEE" w:rsidP="00961BEE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961BEE">
        <w:rPr>
          <w:color w:val="000000"/>
          <w:sz w:val="28"/>
          <w:szCs w:val="28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672107C1" w14:textId="77777777" w:rsidR="00961BEE" w:rsidRPr="00961BEE" w:rsidRDefault="00961BEE" w:rsidP="00961BEE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961BEE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2"/>
        <w:gridCol w:w="1612"/>
        <w:gridCol w:w="2264"/>
      </w:tblGrid>
      <w:tr w:rsidR="00961BEE" w:rsidRPr="00961BEE" w14:paraId="20809A07" w14:textId="77777777" w:rsidTr="00961BEE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33664E" w14:textId="77777777" w:rsidR="00961BEE" w:rsidRPr="00961BEE" w:rsidRDefault="00961BEE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E8AD74" w14:textId="77777777" w:rsidR="00961BEE" w:rsidRPr="00961BEE" w:rsidRDefault="00961BEE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Срок действия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53235D" w14:textId="77777777" w:rsidR="00961BEE" w:rsidRPr="00961BEE" w:rsidRDefault="00961BEE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Форма представления</w:t>
            </w:r>
          </w:p>
        </w:tc>
      </w:tr>
      <w:tr w:rsidR="00961BEE" w:rsidRPr="00961BEE" w14:paraId="07FAEEE1" w14:textId="77777777" w:rsidTr="00961BEE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1BFF6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решение о согласовании использования не по назначению блокированного, одноквартирного жилого дома или его части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DE36F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AF377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14:paraId="40AAEEA0" w14:textId="77777777" w:rsidR="00961BEE" w:rsidRPr="00961BEE" w:rsidRDefault="00961BEE" w:rsidP="00961BEE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961BEE">
        <w:rPr>
          <w:color w:val="000000"/>
          <w:sz w:val="28"/>
          <w:szCs w:val="28"/>
        </w:rPr>
        <w:lastRenderedPageBreak/>
        <w:t> </w:t>
      </w:r>
    </w:p>
    <w:p w14:paraId="78915580" w14:textId="77777777" w:rsidR="00961BEE" w:rsidRPr="00961BEE" w:rsidRDefault="00961BEE" w:rsidP="00961BEE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961BEE">
        <w:rPr>
          <w:color w:val="000000"/>
          <w:sz w:val="28"/>
          <w:szCs w:val="28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7A8A067C" w14:textId="77777777" w:rsidR="00961BEE" w:rsidRPr="00961BEE" w:rsidRDefault="00961BEE" w:rsidP="00961BEE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961BEE">
        <w:rPr>
          <w:color w:val="000000"/>
          <w:sz w:val="28"/>
          <w:szCs w:val="28"/>
        </w:rPr>
        <w:t>4. Порядок подачи (отзыва) административной жалобы:</w:t>
      </w:r>
    </w:p>
    <w:p w14:paraId="1C27ADF9" w14:textId="77777777" w:rsidR="00961BEE" w:rsidRPr="00961BEE" w:rsidRDefault="00961BEE" w:rsidP="00961BEE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961BEE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5"/>
        <w:gridCol w:w="2913"/>
      </w:tblGrid>
      <w:tr w:rsidR="00961BEE" w:rsidRPr="00961BEE" w14:paraId="26DB7C28" w14:textId="77777777" w:rsidTr="00961BEE">
        <w:trPr>
          <w:trHeight w:val="240"/>
        </w:trPr>
        <w:tc>
          <w:tcPr>
            <w:tcW w:w="86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49E4BA" w14:textId="77777777" w:rsidR="00961BEE" w:rsidRPr="00961BEE" w:rsidRDefault="00961BEE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2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D8810B" w14:textId="77777777" w:rsidR="00961BEE" w:rsidRPr="00961BEE" w:rsidRDefault="00961BEE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961BEE" w:rsidRPr="00961BEE" w14:paraId="150B4E04" w14:textId="77777777" w:rsidTr="00961BEE">
        <w:trPr>
          <w:trHeight w:val="240"/>
        </w:trPr>
        <w:tc>
          <w:tcPr>
            <w:tcW w:w="86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6D95B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</w:p>
          <w:p w14:paraId="4C3D5532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</w:p>
          <w:p w14:paraId="67FA3089" w14:textId="77777777" w:rsidR="00961BEE" w:rsidRPr="00961BEE" w:rsidRDefault="00961BEE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1BEE">
              <w:rPr>
                <w:color w:val="000000"/>
                <w:sz w:val="28"/>
                <w:szCs w:val="28"/>
              </w:rPr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24DBA7" w14:textId="77777777" w:rsidR="00961BEE" w:rsidRPr="00961BEE" w:rsidRDefault="00961BEE">
            <w:pPr>
              <w:rPr>
                <w:sz w:val="28"/>
                <w:szCs w:val="28"/>
              </w:rPr>
            </w:pPr>
          </w:p>
        </w:tc>
      </w:tr>
    </w:tbl>
    <w:p w14:paraId="6DBCB9B4" w14:textId="77777777" w:rsidR="00961BEE" w:rsidRPr="00961BEE" w:rsidRDefault="00961BEE" w:rsidP="00424C18">
      <w:pPr>
        <w:jc w:val="both"/>
        <w:rPr>
          <w:b/>
          <w:sz w:val="28"/>
          <w:szCs w:val="28"/>
        </w:rPr>
      </w:pPr>
    </w:p>
    <w:p w14:paraId="7C2D2ED0" w14:textId="77777777" w:rsidR="00961BEE" w:rsidRPr="00961BEE" w:rsidRDefault="00961BEE">
      <w:pPr>
        <w:rPr>
          <w:b/>
          <w:sz w:val="28"/>
          <w:szCs w:val="28"/>
        </w:rPr>
      </w:pPr>
      <w:r w:rsidRPr="00961BEE">
        <w:rPr>
          <w:b/>
          <w:sz w:val="28"/>
          <w:szCs w:val="28"/>
        </w:rPr>
        <w:br w:type="page"/>
      </w:r>
    </w:p>
    <w:p w14:paraId="6C69EEA6" w14:textId="77777777" w:rsidR="00BA368E" w:rsidRPr="00424C18" w:rsidRDefault="00424C18" w:rsidP="00424C18">
      <w:pPr>
        <w:jc w:val="both"/>
        <w:rPr>
          <w:b/>
          <w:sz w:val="30"/>
          <w:szCs w:val="30"/>
        </w:rPr>
      </w:pPr>
      <w:r w:rsidRPr="00424C18">
        <w:rPr>
          <w:b/>
          <w:sz w:val="30"/>
          <w:szCs w:val="30"/>
        </w:rPr>
        <w:lastRenderedPageBreak/>
        <w:t>П</w:t>
      </w:r>
      <w:r w:rsidR="00BA368E" w:rsidRPr="00424C18">
        <w:rPr>
          <w:b/>
          <w:sz w:val="30"/>
          <w:szCs w:val="30"/>
        </w:rPr>
        <w:t>роцедура 16.6.4</w:t>
      </w:r>
      <w:r w:rsidRPr="00424C18">
        <w:rPr>
          <w:b/>
          <w:sz w:val="30"/>
          <w:szCs w:val="30"/>
        </w:rPr>
        <w:t>.</w:t>
      </w:r>
    </w:p>
    <w:p w14:paraId="36F557B5" w14:textId="3EC3F2FE" w:rsidR="00424C18" w:rsidRPr="00424C18" w:rsidRDefault="00384008" w:rsidP="00A62D8F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Костюковичский</w:t>
      </w:r>
      <w:r w:rsidR="00424C18" w:rsidRPr="00424C18">
        <w:rPr>
          <w:sz w:val="30"/>
          <w:szCs w:val="30"/>
        </w:rPr>
        <w:t xml:space="preserve"> районный </w:t>
      </w:r>
    </w:p>
    <w:p w14:paraId="7D3288E7" w14:textId="77777777" w:rsidR="006873A2" w:rsidRDefault="00424C18" w:rsidP="00A62D8F">
      <w:pPr>
        <w:ind w:left="4536"/>
        <w:jc w:val="both"/>
        <w:rPr>
          <w:sz w:val="30"/>
          <w:szCs w:val="30"/>
        </w:rPr>
      </w:pPr>
      <w:r w:rsidRPr="00424C18">
        <w:rPr>
          <w:sz w:val="30"/>
          <w:szCs w:val="30"/>
        </w:rPr>
        <w:t>исполнительный комитет</w:t>
      </w:r>
    </w:p>
    <w:p w14:paraId="16BAF111" w14:textId="77777777" w:rsidR="00A416FF" w:rsidRDefault="00A416FF" w:rsidP="00A62D8F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A62D8F">
        <w:rPr>
          <w:sz w:val="28"/>
          <w:szCs w:val="28"/>
        </w:rPr>
        <w:t>_____________________________</w:t>
      </w:r>
    </w:p>
    <w:p w14:paraId="1CBEE96D" w14:textId="77777777" w:rsidR="00A416FF" w:rsidRDefault="00A416FF" w:rsidP="00A62D8F">
      <w:pPr>
        <w:ind w:left="4536"/>
        <w:jc w:val="both"/>
        <w:rPr>
          <w:sz w:val="18"/>
          <w:szCs w:val="18"/>
        </w:rPr>
      </w:pPr>
      <w:r>
        <w:t xml:space="preserve">         </w:t>
      </w:r>
      <w:r>
        <w:rPr>
          <w:sz w:val="18"/>
          <w:szCs w:val="18"/>
        </w:rPr>
        <w:t>(наименование организации)</w:t>
      </w:r>
    </w:p>
    <w:p w14:paraId="630DC2AD" w14:textId="77777777" w:rsidR="00A416FF" w:rsidRDefault="00A416FF" w:rsidP="00A62D8F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A62D8F">
        <w:rPr>
          <w:sz w:val="28"/>
          <w:szCs w:val="28"/>
        </w:rPr>
        <w:t>_____________________________</w:t>
      </w:r>
    </w:p>
    <w:p w14:paraId="21F25D03" w14:textId="77777777" w:rsidR="00A416FF" w:rsidRDefault="00A416FF" w:rsidP="00A62D8F">
      <w:pPr>
        <w:pStyle w:val="ConsNonformat"/>
        <w:widowControl/>
        <w:ind w:left="4536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(ФИО руководителя ЮЛ  или ИП)</w:t>
      </w:r>
    </w:p>
    <w:p w14:paraId="69E700B9" w14:textId="77777777" w:rsidR="00A416FF" w:rsidRDefault="00A416FF" w:rsidP="00A62D8F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A62D8F">
        <w:rPr>
          <w:sz w:val="28"/>
          <w:szCs w:val="28"/>
        </w:rPr>
        <w:t>_____________________________</w:t>
      </w:r>
    </w:p>
    <w:p w14:paraId="5E13A1BB" w14:textId="77777777" w:rsidR="00A416FF" w:rsidRDefault="00A416FF" w:rsidP="00A62D8F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A62D8F">
        <w:rPr>
          <w:sz w:val="28"/>
          <w:szCs w:val="28"/>
        </w:rPr>
        <w:t>___</w:t>
      </w:r>
    </w:p>
    <w:p w14:paraId="32306BAF" w14:textId="77777777" w:rsidR="00A416FF" w:rsidRDefault="00A416FF" w:rsidP="00A62D8F">
      <w:pPr>
        <w:pStyle w:val="ConsNonformat"/>
        <w:widowControl/>
        <w:ind w:left="4536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(адрес регистрации ЮЛ или ИП)</w:t>
      </w:r>
    </w:p>
    <w:p w14:paraId="069FEFDF" w14:textId="77777777" w:rsidR="00A416FF" w:rsidRDefault="00A416FF" w:rsidP="00A62D8F">
      <w:pPr>
        <w:ind w:left="4536"/>
        <w:jc w:val="both"/>
      </w:pPr>
      <w:r>
        <w:t>__________________________________</w:t>
      </w:r>
    </w:p>
    <w:p w14:paraId="40C1E294" w14:textId="77777777" w:rsidR="00A416FF" w:rsidRDefault="00A416FF" w:rsidP="00A62D8F">
      <w:pPr>
        <w:pStyle w:val="titlep"/>
        <w:spacing w:before="0" w:after="0"/>
        <w:ind w:left="453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A62D8F">
        <w:rPr>
          <w:b w:val="0"/>
          <w:sz w:val="28"/>
          <w:szCs w:val="28"/>
        </w:rPr>
        <w:t>НП___________________________</w:t>
      </w:r>
    </w:p>
    <w:p w14:paraId="691E13D1" w14:textId="77777777" w:rsidR="00A416FF" w:rsidRPr="00BD2C9C" w:rsidRDefault="00A62D8F" w:rsidP="00A62D8F">
      <w:pPr>
        <w:pStyle w:val="titlep"/>
        <w:spacing w:before="0" w:after="0"/>
        <w:ind w:left="4536"/>
        <w:jc w:val="left"/>
        <w:rPr>
          <w:b w:val="0"/>
        </w:rPr>
      </w:pPr>
      <w:r>
        <w:rPr>
          <w:b w:val="0"/>
          <w:sz w:val="28"/>
          <w:szCs w:val="28"/>
        </w:rPr>
        <w:t>тел.____________________________</w:t>
      </w:r>
    </w:p>
    <w:p w14:paraId="41EB20C7" w14:textId="77777777" w:rsidR="001051AF" w:rsidRPr="004169F7" w:rsidRDefault="001051AF" w:rsidP="00A62D8F">
      <w:pPr>
        <w:ind w:left="4536"/>
        <w:jc w:val="center"/>
        <w:rPr>
          <w:b/>
          <w:sz w:val="28"/>
          <w:szCs w:val="28"/>
        </w:rPr>
      </w:pPr>
    </w:p>
    <w:p w14:paraId="745542B0" w14:textId="77777777" w:rsidR="006D0A3A" w:rsidRPr="004169F7" w:rsidRDefault="006D0A3A" w:rsidP="00AC5374">
      <w:pPr>
        <w:jc w:val="center"/>
        <w:rPr>
          <w:b/>
          <w:sz w:val="28"/>
          <w:szCs w:val="28"/>
        </w:rPr>
      </w:pPr>
      <w:r w:rsidRPr="004169F7">
        <w:rPr>
          <w:b/>
          <w:sz w:val="28"/>
          <w:szCs w:val="28"/>
        </w:rPr>
        <w:t>ЗАЯВЛЕНИЕ</w:t>
      </w:r>
    </w:p>
    <w:p w14:paraId="05EC5653" w14:textId="77777777" w:rsidR="00424C18" w:rsidRDefault="00424C18" w:rsidP="001051AF">
      <w:pPr>
        <w:jc w:val="both"/>
        <w:rPr>
          <w:sz w:val="28"/>
          <w:szCs w:val="28"/>
        </w:rPr>
      </w:pPr>
    </w:p>
    <w:p w14:paraId="56B84F58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____</w:t>
      </w:r>
    </w:p>
    <w:p w14:paraId="77C8CEB6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(полное и краткое наименование юридического лица или индивидуального предпринимателя)</w:t>
      </w:r>
    </w:p>
    <w:p w14:paraId="6DAF23F6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__</w:t>
      </w:r>
    </w:p>
    <w:p w14:paraId="73037A58" w14:textId="77777777" w:rsidR="001051AF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(наименование государственного органа, иной государственной организации,</w:t>
      </w:r>
    </w:p>
    <w:p w14:paraId="6779640C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осуществивших государственную регистрацию)</w:t>
      </w:r>
    </w:p>
    <w:p w14:paraId="370017B9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</w:t>
      </w:r>
    </w:p>
    <w:p w14:paraId="199AD53F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(дата и номер решения о государственной регистрации)</w:t>
      </w:r>
    </w:p>
    <w:p w14:paraId="63F39ED6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_,</w:t>
      </w:r>
    </w:p>
    <w:p w14:paraId="1421667D" w14:textId="77777777" w:rsidR="001051AF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(регистрационный номер в Едином государственном регистре юридических лиц и</w:t>
      </w:r>
    </w:p>
    <w:p w14:paraId="60658EB8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индивидуальных предпринимателей)</w:t>
      </w:r>
    </w:p>
    <w:p w14:paraId="3321035C" w14:textId="77777777" w:rsidR="001051AF" w:rsidRDefault="001051AF" w:rsidP="00AC5374">
      <w:pPr>
        <w:ind w:firstLine="708"/>
        <w:jc w:val="both"/>
        <w:rPr>
          <w:sz w:val="28"/>
          <w:szCs w:val="28"/>
        </w:rPr>
      </w:pPr>
    </w:p>
    <w:p w14:paraId="148AA416" w14:textId="77777777" w:rsidR="00AC5374" w:rsidRDefault="00C966A1" w:rsidP="00AC5374">
      <w:pPr>
        <w:ind w:firstLine="708"/>
        <w:jc w:val="both"/>
        <w:rPr>
          <w:sz w:val="30"/>
          <w:szCs w:val="30"/>
        </w:rPr>
      </w:pPr>
      <w:r w:rsidRPr="00A83D0A">
        <w:rPr>
          <w:sz w:val="28"/>
          <w:szCs w:val="28"/>
        </w:rPr>
        <w:t>Прошу</w:t>
      </w:r>
      <w:r>
        <w:rPr>
          <w:sz w:val="28"/>
          <w:szCs w:val="28"/>
        </w:rPr>
        <w:t xml:space="preserve"> </w:t>
      </w:r>
      <w:r w:rsidRPr="00A83D0A">
        <w:rPr>
          <w:sz w:val="28"/>
          <w:szCs w:val="28"/>
        </w:rPr>
        <w:t>рассмотреть</w:t>
      </w:r>
      <w:r>
        <w:rPr>
          <w:sz w:val="28"/>
          <w:szCs w:val="28"/>
        </w:rPr>
        <w:t xml:space="preserve"> </w:t>
      </w:r>
      <w:r w:rsidRPr="00A83D0A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 xml:space="preserve">о получении решения о </w:t>
      </w:r>
      <w:r w:rsidRPr="001A4978">
        <w:rPr>
          <w:sz w:val="28"/>
          <w:szCs w:val="28"/>
        </w:rPr>
        <w:t>согласовании</w:t>
      </w:r>
      <w:r w:rsidR="00330DFC" w:rsidRPr="001A4978">
        <w:rPr>
          <w:sz w:val="28"/>
          <w:szCs w:val="28"/>
        </w:rPr>
        <w:t xml:space="preserve"> </w:t>
      </w:r>
      <w:r w:rsidRPr="001A4978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1A4978">
        <w:rPr>
          <w:sz w:val="28"/>
          <w:szCs w:val="28"/>
        </w:rPr>
        <w:t>не</w:t>
      </w:r>
      <w:r w:rsidR="00330DFC" w:rsidRPr="001A4978">
        <w:rPr>
          <w:sz w:val="28"/>
          <w:szCs w:val="28"/>
        </w:rPr>
        <w:t xml:space="preserve"> по </w:t>
      </w:r>
      <w:r w:rsidRPr="001A4978">
        <w:rPr>
          <w:sz w:val="28"/>
          <w:szCs w:val="28"/>
        </w:rPr>
        <w:t>назначению</w:t>
      </w:r>
      <w:r>
        <w:rPr>
          <w:sz w:val="28"/>
          <w:szCs w:val="28"/>
        </w:rPr>
        <w:t xml:space="preserve"> </w:t>
      </w:r>
      <w:r w:rsidRPr="001A4978">
        <w:rPr>
          <w:sz w:val="28"/>
          <w:szCs w:val="28"/>
        </w:rPr>
        <w:t>блокированного</w:t>
      </w:r>
      <w:r w:rsidR="00330DFC" w:rsidRPr="001A4978">
        <w:rPr>
          <w:sz w:val="28"/>
          <w:szCs w:val="28"/>
        </w:rPr>
        <w:t>,</w:t>
      </w:r>
      <w:r w:rsidR="00BA368E">
        <w:rPr>
          <w:sz w:val="28"/>
          <w:szCs w:val="28"/>
        </w:rPr>
        <w:t xml:space="preserve"> </w:t>
      </w:r>
      <w:r w:rsidRPr="001A4978">
        <w:rPr>
          <w:sz w:val="28"/>
          <w:szCs w:val="28"/>
        </w:rPr>
        <w:t>одноквартирн</w:t>
      </w:r>
      <w:r>
        <w:rPr>
          <w:sz w:val="28"/>
          <w:szCs w:val="28"/>
        </w:rPr>
        <w:t>ого</w:t>
      </w:r>
      <w:r w:rsidRPr="001A4978">
        <w:rPr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 w:rsidR="00330DFC" w:rsidRPr="001A4978">
        <w:rPr>
          <w:sz w:val="28"/>
          <w:szCs w:val="28"/>
        </w:rPr>
        <w:t xml:space="preserve"> </w:t>
      </w:r>
      <w:r w:rsidR="00BA368E">
        <w:rPr>
          <w:sz w:val="28"/>
          <w:szCs w:val="28"/>
        </w:rPr>
        <w:t xml:space="preserve">    </w:t>
      </w:r>
      <w:r w:rsidR="00330DFC" w:rsidRPr="001A4978">
        <w:rPr>
          <w:sz w:val="28"/>
          <w:szCs w:val="28"/>
        </w:rPr>
        <w:t>дом</w:t>
      </w:r>
      <w:r w:rsidR="00330DFC">
        <w:rPr>
          <w:sz w:val="28"/>
          <w:szCs w:val="28"/>
        </w:rPr>
        <w:t>а</w:t>
      </w:r>
      <w:r w:rsidR="00BA368E">
        <w:rPr>
          <w:sz w:val="28"/>
          <w:szCs w:val="28"/>
        </w:rPr>
        <w:t xml:space="preserve"> </w:t>
      </w:r>
      <w:r w:rsidR="00330DFC" w:rsidRPr="001A4978">
        <w:rPr>
          <w:sz w:val="28"/>
          <w:szCs w:val="28"/>
        </w:rPr>
        <w:t xml:space="preserve">или </w:t>
      </w:r>
      <w:r w:rsidR="00330DFC">
        <w:rPr>
          <w:sz w:val="28"/>
          <w:szCs w:val="28"/>
        </w:rPr>
        <w:t>его</w:t>
      </w:r>
      <w:r w:rsidR="00330DFC" w:rsidRPr="001A4978">
        <w:rPr>
          <w:sz w:val="28"/>
          <w:szCs w:val="28"/>
        </w:rPr>
        <w:t xml:space="preserve"> част</w:t>
      </w:r>
      <w:r w:rsidR="00BA368E">
        <w:rPr>
          <w:sz w:val="28"/>
          <w:szCs w:val="28"/>
        </w:rPr>
        <w:t xml:space="preserve">и расположенного </w:t>
      </w:r>
      <w:r w:rsidR="00330DFC">
        <w:rPr>
          <w:sz w:val="28"/>
          <w:szCs w:val="28"/>
        </w:rPr>
        <w:t xml:space="preserve">по </w:t>
      </w:r>
      <w:r>
        <w:rPr>
          <w:sz w:val="28"/>
          <w:szCs w:val="28"/>
        </w:rPr>
        <w:t>адресу</w:t>
      </w:r>
      <w:r>
        <w:rPr>
          <w:sz w:val="30"/>
          <w:szCs w:val="30"/>
        </w:rPr>
        <w:t>: _</w:t>
      </w:r>
      <w:r w:rsidR="00067873">
        <w:rPr>
          <w:sz w:val="30"/>
          <w:szCs w:val="30"/>
        </w:rPr>
        <w:t>_______________________</w:t>
      </w:r>
    </w:p>
    <w:p w14:paraId="25C5944B" w14:textId="77777777" w:rsidR="00AC5374" w:rsidRDefault="00AC5374" w:rsidP="00AC5374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(</w:t>
      </w:r>
      <w:r>
        <w:rPr>
          <w:sz w:val="20"/>
          <w:szCs w:val="20"/>
        </w:rPr>
        <w:t>указать адрес)</w:t>
      </w:r>
    </w:p>
    <w:p w14:paraId="27D6D2D8" w14:textId="77777777" w:rsidR="00067873" w:rsidRDefault="00067873" w:rsidP="00AC5374">
      <w:pPr>
        <w:jc w:val="both"/>
        <w:rPr>
          <w:sz w:val="30"/>
          <w:szCs w:val="3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77637AE3" w14:textId="77777777" w:rsidR="00AC5374" w:rsidRDefault="00AC5374" w:rsidP="00AC5374">
      <w:pPr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14:paraId="3E6E4F2D" w14:textId="77777777" w:rsidR="00AC5374" w:rsidRDefault="00AC5374" w:rsidP="00AC5374">
      <w:pPr>
        <w:spacing w:line="360" w:lineRule="auto"/>
      </w:pPr>
      <w:r>
        <w:t>1.___________________________________________________________________________</w:t>
      </w:r>
    </w:p>
    <w:p w14:paraId="28E03CCD" w14:textId="77777777" w:rsidR="00AC5374" w:rsidRDefault="00AC5374" w:rsidP="00AC5374">
      <w:pPr>
        <w:spacing w:line="360" w:lineRule="auto"/>
      </w:pPr>
      <w:r>
        <w:t>2.___________________________________________________________________________</w:t>
      </w:r>
    </w:p>
    <w:p w14:paraId="3D895AF1" w14:textId="77777777" w:rsidR="00AC5374" w:rsidRDefault="00AC5374" w:rsidP="00AC5374">
      <w:pPr>
        <w:spacing w:line="360" w:lineRule="auto"/>
      </w:pPr>
      <w:r>
        <w:t>З.___________________________________________________________________________</w:t>
      </w:r>
    </w:p>
    <w:p w14:paraId="59729A8E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организации</w:t>
      </w:r>
    </w:p>
    <w:p w14:paraId="1CA00C9C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(индивидуальный предприниматель)   </w:t>
      </w:r>
      <w:r w:rsidR="004169F7">
        <w:rPr>
          <w:rFonts w:ascii="Times New Roman" w:hAnsi="Times New Roman" w:cs="Times New Roman"/>
          <w:sz w:val="30"/>
          <w:szCs w:val="30"/>
        </w:rPr>
        <w:t xml:space="preserve">    ___________   _____________</w:t>
      </w:r>
    </w:p>
    <w:p w14:paraId="43107A0A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</w:t>
      </w:r>
    </w:p>
    <w:p w14:paraId="6A26A267" w14:textId="77777777" w:rsidR="00AC5374" w:rsidRPr="00424C18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4C18">
        <w:rPr>
          <w:rFonts w:ascii="Times New Roman" w:hAnsi="Times New Roman" w:cs="Times New Roman"/>
          <w:sz w:val="28"/>
          <w:szCs w:val="28"/>
        </w:rPr>
        <w:t>«____» _________________________20_</w:t>
      </w:r>
      <w:r w:rsidR="00424C18" w:rsidRPr="00424C18">
        <w:rPr>
          <w:rFonts w:ascii="Times New Roman" w:hAnsi="Times New Roman" w:cs="Times New Roman"/>
          <w:sz w:val="28"/>
          <w:szCs w:val="28"/>
        </w:rPr>
        <w:t>__</w:t>
      </w:r>
      <w:r w:rsidRPr="00424C18">
        <w:rPr>
          <w:rFonts w:ascii="Times New Roman" w:hAnsi="Times New Roman" w:cs="Times New Roman"/>
          <w:sz w:val="28"/>
          <w:szCs w:val="28"/>
        </w:rPr>
        <w:t>_г.</w:t>
      </w:r>
    </w:p>
    <w:p w14:paraId="67314246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</w:t>
      </w:r>
      <w:r w:rsidR="00692E0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67C8771B" w14:textId="77777777" w:rsidR="00AC5374" w:rsidRDefault="00AC5374" w:rsidP="00AC5374">
      <w:pPr>
        <w:jc w:val="both"/>
        <w:rPr>
          <w:sz w:val="30"/>
          <w:szCs w:val="30"/>
        </w:rPr>
      </w:pPr>
    </w:p>
    <w:p w14:paraId="108E346F" w14:textId="77777777" w:rsidR="00AC5374" w:rsidRDefault="00AC5374" w:rsidP="00AC537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Даю согласие на запрос необходимой информации от организаций и других государственных органов.</w:t>
      </w:r>
    </w:p>
    <w:p w14:paraId="3A7E2FD6" w14:textId="77777777" w:rsidR="00AC5374" w:rsidRDefault="00AC5374" w:rsidP="00AC537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5FDF059" w14:textId="77777777" w:rsidR="00AC5374" w:rsidRDefault="00AC5374" w:rsidP="00AC537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69F7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_________________ 20__</w:t>
      </w:r>
      <w:r w:rsidR="00424C1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49FA445F" w14:textId="77777777" w:rsidR="00AC5374" w:rsidRPr="00E26A00" w:rsidRDefault="00AC5374" w:rsidP="00AC5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6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26A00" w:rsidRPr="00E26A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26A00">
        <w:rPr>
          <w:rFonts w:ascii="Times New Roman" w:hAnsi="Times New Roman" w:cs="Times New Roman"/>
          <w:sz w:val="24"/>
          <w:szCs w:val="24"/>
        </w:rPr>
        <w:t xml:space="preserve">        </w:t>
      </w:r>
      <w:r w:rsidR="00386EE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26A00">
        <w:rPr>
          <w:rFonts w:ascii="Times New Roman" w:hAnsi="Times New Roman" w:cs="Times New Roman"/>
          <w:sz w:val="24"/>
          <w:szCs w:val="24"/>
        </w:rPr>
        <w:t>(подпись)</w:t>
      </w:r>
    </w:p>
    <w:sectPr w:rsidR="00AC5374" w:rsidRPr="00E26A00" w:rsidSect="00386E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22F9" w14:textId="77777777" w:rsidR="00AA6244" w:rsidRDefault="00AA6244" w:rsidP="00241A19">
      <w:r>
        <w:separator/>
      </w:r>
    </w:p>
  </w:endnote>
  <w:endnote w:type="continuationSeparator" w:id="0">
    <w:p w14:paraId="4C74C6D3" w14:textId="77777777" w:rsidR="00AA6244" w:rsidRDefault="00AA6244" w:rsidP="0024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6D7FB" w14:textId="77777777" w:rsidR="00AA6244" w:rsidRDefault="00AA6244" w:rsidP="00241A19">
      <w:r>
        <w:separator/>
      </w:r>
    </w:p>
  </w:footnote>
  <w:footnote w:type="continuationSeparator" w:id="0">
    <w:p w14:paraId="7195424F" w14:textId="77777777" w:rsidR="00AA6244" w:rsidRDefault="00AA6244" w:rsidP="0024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4712B"/>
    <w:multiLevelType w:val="hybridMultilevel"/>
    <w:tmpl w:val="9C7E16E2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384D1EED"/>
    <w:multiLevelType w:val="hybridMultilevel"/>
    <w:tmpl w:val="EA6CF9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2429611">
    <w:abstractNumId w:val="1"/>
  </w:num>
  <w:num w:numId="2" w16cid:durableId="18422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E8"/>
    <w:rsid w:val="00067873"/>
    <w:rsid w:val="001051AF"/>
    <w:rsid w:val="00153CEB"/>
    <w:rsid w:val="00183DE8"/>
    <w:rsid w:val="00241A19"/>
    <w:rsid w:val="002807DE"/>
    <w:rsid w:val="00330DFC"/>
    <w:rsid w:val="00360744"/>
    <w:rsid w:val="00362205"/>
    <w:rsid w:val="00384008"/>
    <w:rsid w:val="00386EE3"/>
    <w:rsid w:val="003A77B9"/>
    <w:rsid w:val="003F7484"/>
    <w:rsid w:val="004169F7"/>
    <w:rsid w:val="00424C18"/>
    <w:rsid w:val="00425E1E"/>
    <w:rsid w:val="004531E1"/>
    <w:rsid w:val="00600AB6"/>
    <w:rsid w:val="00661C93"/>
    <w:rsid w:val="006873A2"/>
    <w:rsid w:val="00692E0D"/>
    <w:rsid w:val="00693AF7"/>
    <w:rsid w:val="006A21AF"/>
    <w:rsid w:val="006B0847"/>
    <w:rsid w:val="006D0A3A"/>
    <w:rsid w:val="007D3335"/>
    <w:rsid w:val="007F0B0E"/>
    <w:rsid w:val="008C36D6"/>
    <w:rsid w:val="00961BEE"/>
    <w:rsid w:val="009D43C1"/>
    <w:rsid w:val="00A416FF"/>
    <w:rsid w:val="00A62D8F"/>
    <w:rsid w:val="00A92E9A"/>
    <w:rsid w:val="00AA6244"/>
    <w:rsid w:val="00AC5374"/>
    <w:rsid w:val="00AD73CA"/>
    <w:rsid w:val="00AF3B82"/>
    <w:rsid w:val="00BA368E"/>
    <w:rsid w:val="00BD3732"/>
    <w:rsid w:val="00C129CE"/>
    <w:rsid w:val="00C966A1"/>
    <w:rsid w:val="00D10DAA"/>
    <w:rsid w:val="00D23BCA"/>
    <w:rsid w:val="00DA78DC"/>
    <w:rsid w:val="00E26A00"/>
    <w:rsid w:val="00E81659"/>
    <w:rsid w:val="00E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95F534"/>
  <w15:docId w15:val="{19A1C5F4-8724-426B-924B-0511FF62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00AB6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600AB6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600AB6"/>
    <w:rPr>
      <w:sz w:val="22"/>
      <w:szCs w:val="22"/>
    </w:rPr>
  </w:style>
  <w:style w:type="paragraph" w:customStyle="1" w:styleId="append1">
    <w:name w:val="append1"/>
    <w:basedOn w:val="a"/>
    <w:rsid w:val="00600AB6"/>
    <w:pPr>
      <w:spacing w:after="28"/>
    </w:pPr>
    <w:rPr>
      <w:sz w:val="22"/>
      <w:szCs w:val="22"/>
    </w:rPr>
  </w:style>
  <w:style w:type="table" w:customStyle="1" w:styleId="tablencpi">
    <w:name w:val="tablencpi"/>
    <w:basedOn w:val="a1"/>
    <w:rsid w:val="00600AB6"/>
    <w:tblPr>
      <w:tblCellMar>
        <w:left w:w="0" w:type="dxa"/>
        <w:right w:w="0" w:type="dxa"/>
      </w:tblCellMar>
    </w:tblPr>
  </w:style>
  <w:style w:type="paragraph" w:styleId="a3">
    <w:name w:val="Balloon Text"/>
    <w:basedOn w:val="a"/>
    <w:semiHidden/>
    <w:rsid w:val="006A21A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B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AC53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autoRedefine/>
    <w:rsid w:val="00692E0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5">
    <w:name w:val="header"/>
    <w:basedOn w:val="a"/>
    <w:link w:val="a6"/>
    <w:rsid w:val="00241A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41A19"/>
    <w:rPr>
      <w:sz w:val="24"/>
      <w:szCs w:val="24"/>
    </w:rPr>
  </w:style>
  <w:style w:type="paragraph" w:styleId="a7">
    <w:name w:val="footer"/>
    <w:basedOn w:val="a"/>
    <w:link w:val="a8"/>
    <w:rsid w:val="00241A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41A19"/>
    <w:rPr>
      <w:sz w:val="24"/>
      <w:szCs w:val="24"/>
    </w:rPr>
  </w:style>
  <w:style w:type="table" w:styleId="a9">
    <w:name w:val="Table Grid"/>
    <w:basedOn w:val="a1"/>
    <w:uiPriority w:val="59"/>
    <w:rsid w:val="00D10DAA"/>
    <w:pPr>
      <w:ind w:firstLine="709"/>
      <w:jc w:val="both"/>
    </w:pPr>
    <w:rPr>
      <w:rFonts w:asciiTheme="minorHAnsi" w:eastAsiaTheme="minorHAnsi" w:hAnsiTheme="minorHAnsi" w:cstheme="minorBidi"/>
      <w:sz w:val="30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D10DAA"/>
    <w:pPr>
      <w:ind w:left="720" w:firstLine="709"/>
      <w:contextualSpacing/>
      <w:jc w:val="both"/>
    </w:pPr>
    <w:rPr>
      <w:rFonts w:eastAsiaTheme="minorHAnsi" w:cstheme="minorBidi"/>
      <w:sz w:val="30"/>
      <w:szCs w:val="22"/>
      <w:lang w:eastAsia="en-US"/>
    </w:rPr>
  </w:style>
  <w:style w:type="paragraph" w:customStyle="1" w:styleId="capu1">
    <w:name w:val="capu1"/>
    <w:basedOn w:val="a"/>
    <w:rsid w:val="00961BEE"/>
    <w:pPr>
      <w:spacing w:before="100" w:beforeAutospacing="1" w:after="100" w:afterAutospacing="1"/>
    </w:pPr>
  </w:style>
  <w:style w:type="paragraph" w:customStyle="1" w:styleId="cap1">
    <w:name w:val="cap1"/>
    <w:basedOn w:val="a"/>
    <w:rsid w:val="00961BE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61BEE"/>
    <w:rPr>
      <w:color w:val="0000FF"/>
      <w:u w:val="single"/>
    </w:rPr>
  </w:style>
  <w:style w:type="paragraph" w:customStyle="1" w:styleId="titleu">
    <w:name w:val="titleu"/>
    <w:basedOn w:val="a"/>
    <w:rsid w:val="00961BEE"/>
    <w:pPr>
      <w:spacing w:before="100" w:beforeAutospacing="1" w:after="100" w:afterAutospacing="1"/>
    </w:pPr>
  </w:style>
  <w:style w:type="character" w:customStyle="1" w:styleId="an">
    <w:name w:val="an"/>
    <w:basedOn w:val="a0"/>
    <w:rsid w:val="00961BEE"/>
  </w:style>
  <w:style w:type="paragraph" w:customStyle="1" w:styleId="point">
    <w:name w:val="point"/>
    <w:basedOn w:val="a"/>
    <w:rsid w:val="00961BEE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961BEE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961BEE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961B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599195&amp;links_doc=466341&amp;links_anch=548" TargetMode="External"/><Relationship Id="rId13" Type="http://schemas.openxmlformats.org/officeDocument/2006/relationships/hyperlink" Target="https://bii.by/tx.dll?d=384924&amp;a=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i.by/tx.dll?d=459661&amp;a=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i.by/tx.dll?d=144501&amp;a=2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i.by/tx.dll?d=347250&amp;a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i.by/tx.dll?d=144501&amp;a=191" TargetMode="External"/><Relationship Id="rId10" Type="http://schemas.openxmlformats.org/officeDocument/2006/relationships/hyperlink" Target="https://bii.by/tx.dll?d=144501&amp;a=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tx.dll?d=244965&amp;a=1" TargetMode="External"/><Relationship Id="rId14" Type="http://schemas.openxmlformats.org/officeDocument/2006/relationships/hyperlink" Target="https://bii.by/tx.dll?d=466341&amp;a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D8A5B-2BBA-4D2C-A9E1-F52DC4E7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 Министерства</vt:lpstr>
    </vt:vector>
  </TitlesOfParts>
  <Company>Home</Company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 Министерства</dc:title>
  <dc:subject/>
  <dc:creator>User</dc:creator>
  <cp:keywords/>
  <cp:lastModifiedBy>Куст Ольга Михайловна</cp:lastModifiedBy>
  <cp:revision>3</cp:revision>
  <cp:lastPrinted>2022-07-06T11:12:00Z</cp:lastPrinted>
  <dcterms:created xsi:type="dcterms:W3CDTF">2022-08-04T09:05:00Z</dcterms:created>
  <dcterms:modified xsi:type="dcterms:W3CDTF">2022-08-04T09:06:00Z</dcterms:modified>
</cp:coreProperties>
</file>