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6" w:rsidRPr="00EA0C57" w:rsidRDefault="00487326" w:rsidP="00487326">
      <w:pPr>
        <w:pStyle w:val="2"/>
        <w:pageBreakBefore/>
        <w:ind w:right="0"/>
        <w:jc w:val="center"/>
        <w:rPr>
          <w:b/>
          <w:sz w:val="30"/>
          <w:szCs w:val="30"/>
        </w:rPr>
      </w:pPr>
      <w:r w:rsidRPr="00CD1E5B">
        <w:rPr>
          <w:b/>
          <w:sz w:val="30"/>
          <w:szCs w:val="30"/>
        </w:rPr>
        <w:t>ГРАЖДАНСКОЕ ОБЩЕСТВО В БОРЬБЕ С КОРРУПЦИЕЙ</w:t>
      </w:r>
    </w:p>
    <w:p w:rsidR="00487326" w:rsidRPr="00EA0C57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Гражданское общество представляет собой систему независимых от государства общественно-политических институтов, которые участвуют в общественных отношениях (политических, правовых, культурных, идеологических и т.п.), и возникают в рамках реализации гражданами своих прав, свобод и законных интересов. Гражданское общество неразрывно связано с формированием и функционированием правового государства. В то же время данное общество рассматривается как структурно-организационный феномен, способный к саморегулированию и самоорганизации отдельных его членов с целью не только управления государством, но и противодействия коррупции.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систему институтов гражданского общества обычно включаются следующие элементы: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органы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местного самоуправления;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общественные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объединения, профсоюзные движения;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политические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партии;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коммерческие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и некоммерческие организации;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негосударственные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правоохранительные институты (например, добровольные дружины);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средства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массовой информации.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Само по себе только наличие указанных институтов не позволяет говорить о функционировании полноценного развитого гражданского общества, поскольку если государство, обладая властными полномочиями, не позволяет внедряться в сферу своей деятельности гражданам, контролировать деятельность его механизмов, то таковое общество фактически декларативно.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национальном законодательстве, в частности в Законе «О борьбе с коррупцией», определены формы участия граждан в борьбе с коррупцией. 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участие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в разработке и всенародном (общественном) обсуждении проектов нормативных правовых актов в сфере борьбы с коррупцией;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участие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в деятельности созданных в государственных органах и организациях комиссий по противодействию коррупции;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иные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формы такого участия, предусмотренные законодательными актами.</w:t>
      </w:r>
    </w:p>
    <w:p w:rsidR="00487326" w:rsidRPr="00A02862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02862">
        <w:rPr>
          <w:rFonts w:ascii="Times New Roman" w:hAnsi="Times New Roman"/>
          <w:spacing w:val="-2"/>
          <w:sz w:val="30"/>
          <w:szCs w:val="30"/>
        </w:rPr>
        <w:lastRenderedPageBreak/>
        <w:t>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формах: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проведение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участие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участие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участие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в проведении социологических опросов по вопросам противодействия коррупции (ст. 46 Закона «О борьбе с коррупцией»).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Конвенция ООН против коррупции обеспечивает целостный и системный подход к решению проблемы коррупции в государственном и частном секторах экономики, признавая значение как профилактики коррупции, так и юридической ответственности. Конвенция открывает и новые перспективы для гражданского общества, поскольку призывает к участию граждан в совершенствовании механизмов подотчетности, подчеркивая значение доступа граждан к информации в сфере коррупции. В рамках ст. 13 Конвенции определено, что «каждое государство-участник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угроз». При этом формы активизации гражданского общества связаны со следующими основными направлениями: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усиление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прозрачности и содействие вовлечению населения в процессы принятия решений;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обеспечение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эффективного доступа населения к информации;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проведение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 xml:space="preserve">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>уважение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>, поощрение и защита свободы поиска, получения, опубликования и распространения информации о коррупции.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КООНПК: Всемирная сеть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организаций гражданского общества в поддержку Конвенции ООН против коррупции (далее – коалиция). В настоящее время коалиция объединяет более 350 организаций гражданского общества (далее – ОГО) из более чем 100 стран</w:t>
      </w:r>
      <w:r>
        <w:rPr>
          <w:rFonts w:ascii="Times New Roman" w:hAnsi="Times New Roman"/>
          <w:spacing w:val="-2"/>
          <w:sz w:val="30"/>
          <w:szCs w:val="30"/>
        </w:rPr>
        <w:t xml:space="preserve"> мира</w:t>
      </w:r>
      <w:r w:rsidRPr="00CD1E5B">
        <w:rPr>
          <w:rFonts w:ascii="Times New Roman" w:hAnsi="Times New Roman"/>
          <w:spacing w:val="-2"/>
          <w:sz w:val="30"/>
          <w:szCs w:val="30"/>
        </w:rPr>
        <w:t>, которые ставят своей целью продвижение, ратификацию, осуществление Конвенции ООН против коррупции и мониторинг за ходом ее выполнения, в том числе с участием гражданских формирований.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целях содействия сотрудничеству между ОГО, облегчения идентификации партнеров, присоединения к сети членов гражданского общества коалиция запустила региональные платформы борьбы с коррупцией (африканская, Юго-Восточная Европа, Юго-Восточная Азия). 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коррупции, создания партнерских связей и обмена информацией о состоянии обзоров.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современных реалиях развивающегося мирового пространства, трансформации демократических институтов в обществе объективно изменяются и отношения граждан (общественных организаций, СМИ, профсоюзных движений) и иных элементов гражданского общества с правительством (государством).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связи с этим и в нашем государстве придается особое внимание работе с гражданами в рамках разрешения различных административных процедур, обращений, функционирования независимых СМИ в интернет-пространстве и т.п. Рассмотрим некоторые формы реализации своих правомочий гражданским обществом.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Участие граждан в управлении государством.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положению Закона «О нормативных правовых актах Республики Беларусь» субъектами нормотворческой инициативы являются, в том числе, и граждане, обладающие избирательным правом, в количестве не менее 50 тыс. человек.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тыс. граждан Республики Беларусь, обладающих избирательным правом.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Обращения граждан.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Законодательством предусмотрено право граждан, юридических лиц на обращение в государственные органы, реализация которого регулируется Законом «Об обращениях граждан и юридических лиц»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Закон)</w:t>
      </w:r>
      <w:r w:rsidRPr="00CD1E5B">
        <w:rPr>
          <w:rFonts w:ascii="Times New Roman" w:hAnsi="Times New Roman"/>
          <w:spacing w:val="-2"/>
          <w:sz w:val="30"/>
          <w:szCs w:val="30"/>
        </w:rPr>
        <w:t>. В частности, граждане Республики Беларусь имеют право на обращение в организации путем подачи письменных, электронных или устных обращений, а также путем внесения замечаний и (или) предложений в книгу замечаний и предложений индивидуальных предпринимателей (ст. 3</w:t>
      </w:r>
      <w:r>
        <w:rPr>
          <w:rFonts w:ascii="Times New Roman" w:hAnsi="Times New Roman"/>
          <w:spacing w:val="-2"/>
          <w:sz w:val="30"/>
          <w:szCs w:val="30"/>
        </w:rPr>
        <w:t xml:space="preserve"> Закона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). Онлайновые платформы, такие как Petitions.by или 115.бел, позволяют упрощать и ускорять документооборот, что способствует более широкому обсуждению общественно-значимых проблем, в том числе связанных с коррупцией. Тем самым имеет место и оперативное реагирование гражданского общества на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возникающие риски коррупционного характера или неразрешенные конфликты интересов.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участия может стать обращение гражданина Республики Беларусь в Министерство финансов с предложением «для борьбы с коррупцией и нецелевым расходованием бюджетных средств создать документооборот и расчет на основе смарт-контрактов на технологии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блокчейн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>. Тем самым исключая человеческий фактор по распределению средств и выборе подрядчика услуги или поставщика материалов». Другой пример обращения в Администрацию Президента связан с материальным стимулированием выявления взяточников среди чиновников (</w:t>
      </w:r>
      <w:r w:rsidRPr="002A5C04">
        <w:rPr>
          <w:rFonts w:ascii="Times New Roman" w:hAnsi="Times New Roman"/>
          <w:bCs/>
          <w:spacing w:val="-2"/>
          <w:sz w:val="30"/>
          <w:szCs w:val="30"/>
        </w:rPr>
        <w:t>https://petitions.by/petitions/1137</w:t>
      </w:r>
      <w:r w:rsidRPr="00CD1E5B">
        <w:rPr>
          <w:rFonts w:ascii="Times New Roman" w:hAnsi="Times New Roman"/>
          <w:spacing w:val="-2"/>
          <w:sz w:val="30"/>
          <w:szCs w:val="30"/>
        </w:rPr>
        <w:t>).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Свобода слова.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ст. 33 Конституции Республики Беларусь каждому гарантируется свобода мнений, убеждений и их свободное выражение. Никто не может быть принужден к выражению своих убеждений или отказу от них. Монополизация средств массовой информации государством, общественными объединениями или отдельными гражданами не допускается. Недопустимость незаконного ограничения свободы массовой информации (ст. 7 Закона «О средствах массовой информации») реализуется посредством запрета осуществления цензуры массовой информации, приостановления или прекращения выпуска средства массовой информации с нарушением требований действующего законодательства, принуждения журналиста средства массовой информации к распространению либо отказу от распространения информации и т.п.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обсуждения антикоррупционной кампании, которая проводится в Республике Беларусь, является ее освещение в СМИ и сети Интернет.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Кроме того, участие общественных объединений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партий, профессиональных союзов, общественных движений и фондов также направлено на противодействие коррупции в белорусском обществе. Например, Объединенная гражданская партия является либерально-консервативной партией, которая считает, что главной ценностью любого государства является человек с его интересами, желаниями и потребностями. Права и свободы человека имеют приоритет перед интересами государства, которое должно обеспечить и гарантировать участие граждан в управлении государством непосредственно или через своих представителей, а также контролировать деятельность государственных органов. Обсуждения и гражданские инициативы данной партии нередко посвящены вопросам противодействия коррупции, вскрытия фактов коррумпированности чиновников и привлечения последних к ответственности. По данным мировых экспертов, </w:t>
      </w:r>
      <w:r>
        <w:rPr>
          <w:rFonts w:ascii="Times New Roman" w:hAnsi="Times New Roman"/>
          <w:spacing w:val="-2"/>
          <w:sz w:val="30"/>
          <w:szCs w:val="30"/>
        </w:rPr>
        <w:t xml:space="preserve">в 2022 г.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Республика Беларусь по уровню динамики развития информационно-коммуникационных технологий занимает </w:t>
      </w:r>
      <w:r>
        <w:rPr>
          <w:rFonts w:ascii="Times New Roman" w:hAnsi="Times New Roman"/>
          <w:spacing w:val="-2"/>
          <w:sz w:val="30"/>
          <w:szCs w:val="30"/>
        </w:rPr>
        <w:t>5</w:t>
      </w:r>
      <w:r w:rsidRPr="00CD1E5B">
        <w:rPr>
          <w:rFonts w:ascii="Times New Roman" w:hAnsi="Times New Roman"/>
          <w:spacing w:val="-2"/>
          <w:sz w:val="30"/>
          <w:szCs w:val="30"/>
        </w:rPr>
        <w:t>8-е место из 193 стран в Индексе развития электронного правительства (E-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Government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Development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Index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). </w:t>
      </w:r>
    </w:p>
    <w:p w:rsidR="00487326" w:rsidRPr="00CD1E5B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На данный момент с учетом возможностей и готовности общества в Республике Беларусь внедрять электронные средства коммуникации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 xml:space="preserve">е-демократия может применять различные технологии, направленные на повышение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транспарентности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(прозрачности) политического процесса, на активизацию и участие граждан в процессах принятия политических решений, включая антикоррупционные вопросы, на совершенствование качества формирования общественной среды путем открытия нового пространства для информации и обсуждения. Для этих целей могут использоваться самые разные инструменты, такие как е-доступ к данным, е-консультации с различными уполномоченными </w:t>
      </w: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 xml:space="preserve">субъектами,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D1E5B">
        <w:rPr>
          <w:rFonts w:ascii="Times New Roman" w:hAnsi="Times New Roman"/>
          <w:spacing w:val="-2"/>
          <w:sz w:val="30"/>
          <w:szCs w:val="30"/>
        </w:rPr>
        <w:t>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>-петиции, е-голосования, е-форумы. Эти информационные технологии имеют связь с сетью Интернет, где в свободном пространстве могут открываться и дискуссии, и голосования, и обсуждения.</w:t>
      </w:r>
    </w:p>
    <w:p w:rsidR="00487326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Таким образом, в Республике Беларусь сложилась определенная система общественных институтов, позволяющих говорить о наличии и функционировании гражданского общества как одного из элементов противодействия коррупции. </w:t>
      </w:r>
    </w:p>
    <w:p w:rsidR="00487326" w:rsidRDefault="00487326" w:rsidP="004873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487326" w:rsidRPr="00487326" w:rsidRDefault="00487326" w:rsidP="00487326">
      <w:pPr>
        <w:tabs>
          <w:tab w:val="left" w:pos="6708"/>
          <w:tab w:val="left" w:pos="6864"/>
        </w:tabs>
        <w:spacing w:after="0" w:line="240" w:lineRule="auto"/>
        <w:jc w:val="center"/>
        <w:rPr>
          <w:rFonts w:ascii="Times New Roman" w:hAnsi="Times New Roman"/>
          <w:spacing w:val="-2"/>
          <w:sz w:val="30"/>
          <w:szCs w:val="30"/>
        </w:rPr>
      </w:pPr>
      <w:r w:rsidRPr="00487326">
        <w:rPr>
          <w:rFonts w:ascii="Times New Roman" w:hAnsi="Times New Roman"/>
          <w:b/>
          <w:sz w:val="30"/>
          <w:szCs w:val="30"/>
        </w:rPr>
        <w:t xml:space="preserve">Принимаемые меры по борьбе с коррупцией в </w:t>
      </w:r>
      <w:proofErr w:type="spellStart"/>
      <w:r w:rsidRPr="00487326">
        <w:rPr>
          <w:rFonts w:ascii="Times New Roman" w:hAnsi="Times New Roman"/>
          <w:b/>
          <w:sz w:val="30"/>
          <w:szCs w:val="30"/>
        </w:rPr>
        <w:t>Костюковичском</w:t>
      </w:r>
      <w:proofErr w:type="spellEnd"/>
      <w:r w:rsidRPr="00487326">
        <w:rPr>
          <w:rFonts w:ascii="Times New Roman" w:hAnsi="Times New Roman"/>
          <w:b/>
          <w:sz w:val="30"/>
          <w:szCs w:val="30"/>
        </w:rPr>
        <w:t xml:space="preserve"> районе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В</w:t>
      </w:r>
      <w:r w:rsidRPr="0048732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87326">
        <w:rPr>
          <w:rFonts w:ascii="Times New Roman" w:hAnsi="Times New Roman"/>
          <w:sz w:val="30"/>
          <w:szCs w:val="30"/>
        </w:rPr>
        <w:t>Костюковичском</w:t>
      </w:r>
      <w:proofErr w:type="spellEnd"/>
      <w:r w:rsidRPr="00487326">
        <w:rPr>
          <w:rFonts w:ascii="Times New Roman" w:hAnsi="Times New Roman"/>
          <w:sz w:val="30"/>
          <w:szCs w:val="30"/>
        </w:rPr>
        <w:t xml:space="preserve"> районе за истекший период текущего года по линии </w:t>
      </w:r>
      <w:proofErr w:type="spellStart"/>
      <w:r w:rsidRPr="00487326">
        <w:rPr>
          <w:rFonts w:ascii="Times New Roman" w:hAnsi="Times New Roman"/>
          <w:sz w:val="30"/>
          <w:szCs w:val="30"/>
        </w:rPr>
        <w:t>БКиЭП</w:t>
      </w:r>
      <w:proofErr w:type="spellEnd"/>
      <w:r w:rsidRPr="00487326">
        <w:rPr>
          <w:rFonts w:ascii="Times New Roman" w:hAnsi="Times New Roman"/>
          <w:sz w:val="30"/>
          <w:szCs w:val="30"/>
        </w:rPr>
        <w:t>, без учета нераскрытых фактов фальшивомонетничества, экономических преступлений зарегистрировано 8 преступлений, 2 из которых относится к категории коррупционных. За аналогичный период времени 2021 года зарегистрировано 13 экономических преступлений, 1 из которых относится к категории коррупционных. Из указанного числа преступлений, зарегистрированных в 2022 году, 5 преступлений совершено в сфере агропромышленного комплекса (2 — ч.1 ст. 427 УК РБ по фактам фиктивных приписок живой массы крупного рогатого скота (филиал №1 «</w:t>
      </w:r>
      <w:proofErr w:type="spellStart"/>
      <w:r w:rsidRPr="00487326">
        <w:rPr>
          <w:rFonts w:ascii="Times New Roman" w:hAnsi="Times New Roman"/>
          <w:sz w:val="30"/>
          <w:szCs w:val="30"/>
        </w:rPr>
        <w:t>Цемагро</w:t>
      </w:r>
      <w:proofErr w:type="spellEnd"/>
      <w:r w:rsidRPr="00487326">
        <w:rPr>
          <w:rFonts w:ascii="Times New Roman" w:hAnsi="Times New Roman"/>
          <w:sz w:val="30"/>
          <w:szCs w:val="30"/>
        </w:rPr>
        <w:t>» ОАО «БЦЗ»), 1 — ч. 1 ст. 427 УК РБ по факту сокрытия падежа (филиал №1 «</w:t>
      </w:r>
      <w:proofErr w:type="spellStart"/>
      <w:r w:rsidRPr="00487326">
        <w:rPr>
          <w:rFonts w:ascii="Times New Roman" w:hAnsi="Times New Roman"/>
          <w:sz w:val="30"/>
          <w:szCs w:val="30"/>
        </w:rPr>
        <w:t>Цемагро</w:t>
      </w:r>
      <w:proofErr w:type="spellEnd"/>
      <w:r w:rsidRPr="00487326">
        <w:rPr>
          <w:rFonts w:ascii="Times New Roman" w:hAnsi="Times New Roman"/>
          <w:sz w:val="30"/>
          <w:szCs w:val="30"/>
        </w:rPr>
        <w:t>» ОАО «БЦЗ»), 2 — ч. 1 ст. 205 УК РБ (1 по факту хищения электродвигателя с доильной установки в КСУП «Самотевичи Агро», 1 по факту хищения 2 голов молодняка КРС оператором машинного доения филиала №1 «</w:t>
      </w:r>
      <w:proofErr w:type="spellStart"/>
      <w:r w:rsidRPr="00487326">
        <w:rPr>
          <w:rFonts w:ascii="Times New Roman" w:hAnsi="Times New Roman"/>
          <w:sz w:val="30"/>
          <w:szCs w:val="30"/>
        </w:rPr>
        <w:t>Цемагро</w:t>
      </w:r>
      <w:proofErr w:type="spellEnd"/>
      <w:r w:rsidRPr="00487326">
        <w:rPr>
          <w:rFonts w:ascii="Times New Roman" w:hAnsi="Times New Roman"/>
          <w:sz w:val="30"/>
          <w:szCs w:val="30"/>
        </w:rPr>
        <w:t xml:space="preserve">» ОАО «БЦЗ»); 1 — в сфере продовольствия (ч. 1 ст. 211 УК РБ с последующей перспективой переквалификации в ч. 3 ст. 211 УК РБ в отношении продавца Костюковичского </w:t>
      </w:r>
      <w:proofErr w:type="spellStart"/>
      <w:r w:rsidRPr="00487326">
        <w:rPr>
          <w:rFonts w:ascii="Times New Roman" w:hAnsi="Times New Roman"/>
          <w:sz w:val="30"/>
          <w:szCs w:val="30"/>
        </w:rPr>
        <w:t>РайПО</w:t>
      </w:r>
      <w:proofErr w:type="spellEnd"/>
      <w:r w:rsidRPr="00487326">
        <w:rPr>
          <w:rFonts w:ascii="Times New Roman" w:hAnsi="Times New Roman"/>
          <w:sz w:val="30"/>
          <w:szCs w:val="30"/>
        </w:rPr>
        <w:t xml:space="preserve"> по факту присвоения товарно-материальных ценностей и денежных средств); 1 — в сфере здравоохранения (ч. 1 ст. 210 УК РБ в отношении главного санитарного врача УЗ «Костюковичский </w:t>
      </w:r>
      <w:proofErr w:type="spellStart"/>
      <w:r w:rsidRPr="00487326">
        <w:rPr>
          <w:rFonts w:ascii="Times New Roman" w:hAnsi="Times New Roman"/>
          <w:sz w:val="30"/>
          <w:szCs w:val="30"/>
        </w:rPr>
        <w:t>райЦГЭ</w:t>
      </w:r>
      <w:proofErr w:type="spellEnd"/>
      <w:r w:rsidRPr="00487326">
        <w:rPr>
          <w:rFonts w:ascii="Times New Roman" w:hAnsi="Times New Roman"/>
          <w:sz w:val="30"/>
          <w:szCs w:val="30"/>
        </w:rPr>
        <w:t>» по факту совершения хищения денежных средств, выплаченных в качестве заработной платы за совместительство должностей); 1 — в сфере строительства (ч. 3 ст. 210 УК РБ в отношении главного механика ДСУ №37 по факту хищения денежных средств при проведении закупок у коммерческих структур).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</w:rPr>
        <w:t>Преступлений, относящихся к категории тяжких и особо тяжких за указанный период 2022 года выявлено одно (ч. 3 ст. 210 УК РБ), за аналогичный период 2021 года не выявлялось.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</w:rPr>
        <w:lastRenderedPageBreak/>
        <w:t>Результаты работы за 9 месяцев т. г., в сравнении с аналогичным периодом прошлого года (далее – АППГ), отражены в таблице.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487326" w:rsidRPr="00487326" w:rsidTr="00E8531E">
        <w:trPr>
          <w:cantSplit/>
          <w:trHeight w:val="1249"/>
        </w:trPr>
        <w:tc>
          <w:tcPr>
            <w:tcW w:w="1276" w:type="dxa"/>
            <w:shd w:val="clear" w:color="auto" w:fill="FFFFFF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Отчетный период/</w:t>
            </w:r>
            <w:r w:rsidRPr="00487326">
              <w:rPr>
                <w:rFonts w:ascii="Times New Roman" w:hAnsi="Times New Roman"/>
                <w:sz w:val="30"/>
                <w:szCs w:val="30"/>
              </w:rPr>
              <w:br/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Зарегистрировано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209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210 УК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211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221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424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426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427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428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430 УК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431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Статья 433 УК</w:t>
            </w:r>
          </w:p>
        </w:tc>
        <w:tc>
          <w:tcPr>
            <w:tcW w:w="567" w:type="dxa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Ст. 250 УК</w:t>
            </w:r>
          </w:p>
        </w:tc>
        <w:tc>
          <w:tcPr>
            <w:tcW w:w="567" w:type="dxa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Ст. 205 УК</w:t>
            </w:r>
          </w:p>
        </w:tc>
        <w:tc>
          <w:tcPr>
            <w:tcW w:w="567" w:type="dxa"/>
            <w:textDirection w:val="btLr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Ст. 409 УК</w:t>
            </w:r>
          </w:p>
        </w:tc>
      </w:tr>
      <w:tr w:rsidR="00487326" w:rsidRPr="00487326" w:rsidTr="00E8531E">
        <w:tc>
          <w:tcPr>
            <w:tcW w:w="1276" w:type="dxa"/>
            <w:shd w:val="clear" w:color="auto" w:fill="FFFFFF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487326" w:rsidRPr="00487326" w:rsidTr="00E8531E">
        <w:tc>
          <w:tcPr>
            <w:tcW w:w="1276" w:type="dxa"/>
            <w:shd w:val="clear" w:color="auto" w:fill="FFFFFF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487326" w:rsidRPr="00487326" w:rsidTr="00E8531E">
        <w:tc>
          <w:tcPr>
            <w:tcW w:w="1276" w:type="dxa"/>
            <w:shd w:val="clear" w:color="auto" w:fill="FFFFFF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487326" w:rsidRPr="00487326" w:rsidTr="00E8531E">
        <w:tc>
          <w:tcPr>
            <w:tcW w:w="1276" w:type="dxa"/>
            <w:shd w:val="clear" w:color="auto" w:fill="FFFFFF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+/-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-5</w:t>
            </w:r>
          </w:p>
        </w:tc>
        <w:tc>
          <w:tcPr>
            <w:tcW w:w="425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+1</w:t>
            </w:r>
          </w:p>
        </w:tc>
        <w:tc>
          <w:tcPr>
            <w:tcW w:w="426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+1</w:t>
            </w:r>
          </w:p>
        </w:tc>
        <w:tc>
          <w:tcPr>
            <w:tcW w:w="567" w:type="dxa"/>
          </w:tcPr>
          <w:p w:rsidR="00487326" w:rsidRPr="00487326" w:rsidRDefault="00487326" w:rsidP="0048732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326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</w:tbl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</w:rPr>
        <w:t xml:space="preserve">Принятыми сотрудниками ГБЭП КМ ОВД и иными службами мерами из незаконного оборота изъято 9,877 тонн лома черного металла, 11,2 кг алюминия и 2,9 кг латуни, за аналогичный период 2021 года из незаконного оборота лома и отходов черного и </w:t>
      </w:r>
      <w:proofErr w:type="gramStart"/>
      <w:r w:rsidRPr="00487326">
        <w:rPr>
          <w:rFonts w:ascii="Times New Roman" w:hAnsi="Times New Roman"/>
          <w:sz w:val="30"/>
          <w:szCs w:val="30"/>
        </w:rPr>
        <w:t>цветного  изъято</w:t>
      </w:r>
      <w:proofErr w:type="gramEnd"/>
      <w:r w:rsidRPr="00487326">
        <w:rPr>
          <w:rFonts w:ascii="Times New Roman" w:hAnsi="Times New Roman"/>
          <w:sz w:val="30"/>
          <w:szCs w:val="30"/>
        </w:rPr>
        <w:t xml:space="preserve"> 2,09 т лома черного металла.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</w:rPr>
        <w:t>С отрицательной стороны стоит отметить, что фальсифицированной алкогольной продукции и спиртосодержащей жидкости сотрудниками ГБЭП КМ ОВД из незаконного оборота не изымалось.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  <w:shd w:val="clear" w:color="auto" w:fill="FFFFFF"/>
        </w:rPr>
        <w:t xml:space="preserve">В сфере незаконного оборота валюты административных правонарушений </w:t>
      </w:r>
      <w:r w:rsidRPr="00487326">
        <w:rPr>
          <w:rFonts w:ascii="Times New Roman" w:hAnsi="Times New Roman"/>
          <w:sz w:val="30"/>
          <w:szCs w:val="30"/>
        </w:rPr>
        <w:t>не выявлялось.</w:t>
      </w:r>
    </w:p>
    <w:p w:rsidR="00487326" w:rsidRPr="00487326" w:rsidRDefault="00487326" w:rsidP="004873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326">
        <w:rPr>
          <w:rFonts w:ascii="Times New Roman" w:hAnsi="Times New Roman"/>
          <w:sz w:val="30"/>
          <w:szCs w:val="30"/>
        </w:rPr>
        <w:t>По результатам работы ГБЭП КМ ОВД за истекший период 2022 года в отношении физических лиц за совершение административных правонарушений составлено 19 протоколов о совершении административного правонарушения (12 по ч. 2 ст. 13.3 КоАП Республики Беларусь, 3 по ч. 1 ст. 13.1 КоАП Республики Беларусь, 4 по ст. 11.1 КоАП Республики Беларусь).</w:t>
      </w:r>
    </w:p>
    <w:p w:rsidR="0072567D" w:rsidRPr="00487326" w:rsidRDefault="0072567D" w:rsidP="0048732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2567D" w:rsidRPr="00487326" w:rsidSect="00AE79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6"/>
    <w:rsid w:val="00487326"/>
    <w:rsid w:val="0072567D"/>
    <w:rsid w:val="00A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8D56-848B-4570-8CFE-3B283F2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7326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73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2172</Words>
  <Characters>12384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2022-12-12T07:34:00Z</dcterms:created>
  <dcterms:modified xsi:type="dcterms:W3CDTF">2022-12-12T07:40:00Z</dcterms:modified>
</cp:coreProperties>
</file>