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5B4" w:rsidRPr="00824193" w:rsidRDefault="00D675B4" w:rsidP="00D675B4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824193">
        <w:rPr>
          <w:rFonts w:ascii="Times New Roman" w:hAnsi="Times New Roman"/>
          <w:b/>
          <w:sz w:val="30"/>
          <w:szCs w:val="30"/>
        </w:rPr>
        <w:t xml:space="preserve">К 85-ЛЕТИЮ СО ДНЯ ОБРАЗОВАНИЯ МОГИЛЕВСКОЙ ОБЛАСТИ </w:t>
      </w:r>
      <w:r>
        <w:rPr>
          <w:rFonts w:ascii="Times New Roman" w:hAnsi="Times New Roman"/>
          <w:b/>
          <w:sz w:val="30"/>
          <w:szCs w:val="30"/>
        </w:rPr>
        <w:t>(</w:t>
      </w:r>
      <w:r w:rsidRPr="00824193">
        <w:rPr>
          <w:rFonts w:ascii="Times New Roman" w:hAnsi="Times New Roman"/>
          <w:b/>
          <w:sz w:val="30"/>
          <w:szCs w:val="30"/>
        </w:rPr>
        <w:t>15 ЯНВАРЯ 1938 ГОДА</w:t>
      </w:r>
      <w:r>
        <w:rPr>
          <w:rFonts w:ascii="Times New Roman" w:hAnsi="Times New Roman"/>
          <w:b/>
          <w:sz w:val="30"/>
          <w:szCs w:val="30"/>
        </w:rPr>
        <w:t>)</w:t>
      </w:r>
    </w:p>
    <w:p w:rsidR="00D675B4" w:rsidRPr="00DD40E6" w:rsidRDefault="00D675B4" w:rsidP="00D675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</w:p>
    <w:p w:rsidR="00D675B4" w:rsidRPr="00DD40E6" w:rsidRDefault="00D675B4" w:rsidP="00D675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Образование Могилевской области происходило в тесной взаимосвязи с общественно-политическими, социально-экономическими и культурными процессами, происходившими на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восточнобелорусских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 землях в 1920-1930-х годах.</w:t>
      </w:r>
    </w:p>
    <w:p w:rsidR="00D675B4" w:rsidRPr="00DD40E6" w:rsidRDefault="00D675B4" w:rsidP="00D675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После заключения Рижского мирного договора 18 марта 1921 года, по условиям которого Западная Беларусь стала частью польского государства, перед руководством БССР на повестку дня встал вопрос о расширении территории республики. Состоявшая всего из 6 уездов бывшей Минской губернии: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Бобруйского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Борисовского, Игуменского, частично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Мозырского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, Минского и Слуцкого</w:t>
      </w:r>
      <w:r>
        <w:rPr>
          <w:rFonts w:ascii="Times New Roman" w:eastAsia="Times New Roman" w:hAnsi="Times New Roman"/>
          <w:color w:val="000000"/>
          <w:sz w:val="30"/>
          <w:szCs w:val="30"/>
        </w:rPr>
        <w:t>,</w:t>
      </w:r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 она не могла полноценно развиваться. Создание СССР 30 декабря 1922 года предоставило возможность решения данного вопроса. В постановлении ЦБ КП(б)Б от 16 сентября 1922 года значилось: «считать целесообразным поставить вопрос о расширении территории Советской Социалистической Республики Беларусь исходя из политической целесообразности». </w:t>
      </w:r>
    </w:p>
    <w:p w:rsidR="00D675B4" w:rsidRPr="00DD40E6" w:rsidRDefault="00D675B4" w:rsidP="00D675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В 1923 году активизировалась деятельность руководства БССР по возвращению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восточнобелорусских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 земель. На совещании по национальному вопросу, состоявш</w:t>
      </w:r>
      <w:r>
        <w:rPr>
          <w:rFonts w:ascii="Times New Roman" w:eastAsia="Times New Roman" w:hAnsi="Times New Roman"/>
          <w:color w:val="000000"/>
          <w:sz w:val="30"/>
          <w:szCs w:val="30"/>
        </w:rPr>
        <w:t>е</w:t>
      </w:r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мся в июне 1923 года в Москве, представитель КП(б)Б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В.Богуцкий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 в своем выступлении подчеркнул необходимость приращения территории республики путем присоединения Витебской и Гомельской губерний. Одновременно ЦБ КП(б)Б передало в ЦК РКП(б) «Докладную записку о территории БССР», в которой белорусские деятели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А.Червяков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В.Игнатовский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  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В.Нодель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А.Гетнер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 изложили мотивы укрупнения 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территории </w:t>
      </w:r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республики.</w:t>
      </w:r>
    </w:p>
    <w:p w:rsidR="00D675B4" w:rsidRPr="00DD40E6" w:rsidRDefault="00D675B4" w:rsidP="00D675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Необходимость воссоединения БССР объяснялась </w:t>
      </w:r>
      <w:proofErr w:type="gram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соображениями  внешнеполитического</w:t>
      </w:r>
      <w:proofErr w:type="gram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 характера, поскольку многие мероприятия в БССР проводились с учетом резонанса, который они будут иметь в Польше. Мнение внешнеполитического характера подкреплялись внутриполитическими и социально-экономическими моментами о необходимости проведения работы среди местного населения по развитию системы образования на белорусском языке. Констатировался факт, что укрупнение территории республики будет содействовать ее более эффективному социально-экономическому развитию.</w:t>
      </w:r>
    </w:p>
    <w:p w:rsidR="00D675B4" w:rsidRPr="00DD40E6" w:rsidRDefault="00D675B4" w:rsidP="00D675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Политбюро ЦК РКП(б) 12 июля 1923 года признало расширение территории республики «принципиально необходимым».</w:t>
      </w:r>
    </w:p>
    <w:p w:rsidR="00D675B4" w:rsidRPr="00DD40E6" w:rsidRDefault="00D675B4" w:rsidP="00D675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В результате проведенной во второй половине 1923 – начале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                 </w:t>
      </w:r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 1924 гг. партийными органами работы вопрос об укрупнении территории БССР был решен положительно.</w:t>
      </w:r>
    </w:p>
    <w:p w:rsidR="00D675B4" w:rsidRPr="00DD40E6" w:rsidRDefault="00D675B4" w:rsidP="00D675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DD40E6">
        <w:rPr>
          <w:rFonts w:ascii="Times New Roman" w:eastAsia="Times New Roman" w:hAnsi="Times New Roman"/>
          <w:color w:val="000000"/>
          <w:sz w:val="30"/>
          <w:szCs w:val="30"/>
        </w:rPr>
        <w:lastRenderedPageBreak/>
        <w:t>4 февраля 1924 года Президиум ВЦИК РСФСР принял постановление «О передаче БССР части территории РСФСР с преобладающим белорусским населением».</w:t>
      </w:r>
    </w:p>
    <w:p w:rsidR="00D675B4" w:rsidRPr="00DD40E6" w:rsidRDefault="00D675B4" w:rsidP="00D675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19 февраля 1924 года постановлением Полномочной Комиссии СНК БССР по приему в состав БССР частей Гомельской, Витебской и Смоленской губерний приняты Могилевский, Рогачевский, Калининский уезды и часть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Речицкого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 уезда Гомельской области.</w:t>
      </w:r>
    </w:p>
    <w:p w:rsidR="00D675B4" w:rsidRDefault="00D675B4" w:rsidP="00D675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3 марта 1924 года принят декрет Президиума Всероссийского ЦИК «О передаче Белоруссии районов с преобладающим белорусским населением». На основании постановлений Первой Сессии Всероссийского Центрального Исполнительного Комитета XI-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го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 созыва о передаче Белоруссии районов с преобладающим белорусским населением Президиум Всероссийского Центрального Исполнительного Комитета постановил: передать Белорусской Советской Социалистической Республике: </w:t>
      </w:r>
    </w:p>
    <w:p w:rsidR="00D675B4" w:rsidRDefault="00D675B4" w:rsidP="00D675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1. Из состава Витебской губернии по границам старого административного деления уезды: Витебский,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Городокский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Дриссенский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Лепельский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Оршанский, Полоцкий,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Сенненский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Суражский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. </w:t>
      </w:r>
    </w:p>
    <w:p w:rsidR="00D675B4" w:rsidRDefault="00D675B4" w:rsidP="00D675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2. Из состава Гомельской губернии уезды: Могилевский, Рогачевский, Быховский,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Климовичский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Чериковский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 и Чаусский и волости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Речицкого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 уезда: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Дерновичская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Мухоедовская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Наровлянская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Дудичская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 со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ст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[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анцией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] Калинковичи,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Крюковичская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ныне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Савичская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Домановичская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Карповичская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 целиком и части волостей: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Автютевичской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Юревичской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 и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ЯкимоСлободской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 по границам деревень: Боровики,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Шепейки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Какуевичи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Александровка, Малые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Автютевичи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 и деревня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Домарка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. </w:t>
      </w:r>
    </w:p>
    <w:p w:rsidR="00D675B4" w:rsidRPr="00DD40E6" w:rsidRDefault="00D675B4" w:rsidP="00D675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3. Из состава Смоленской губернии: Горецкий уезд полностью и волости: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Шамовская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Старосельская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Казимирово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-Слободская и части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Бохотской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Ослянской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 и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Соенской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Мстиславльского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 уезда с городом Мстиславлем;</w:t>
      </w:r>
    </w:p>
    <w:p w:rsidR="00D675B4" w:rsidRPr="00DD40E6" w:rsidRDefault="00D675B4" w:rsidP="00D675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13-16 марта 1924 года принята резолюция VI Всебелорусского Чрезвычайного съезда Советов рабочих, крестьянских и красноармейских депутатов «О расширении территории Белорусской Республики и задачах советского строительства».</w:t>
      </w:r>
    </w:p>
    <w:p w:rsidR="00D675B4" w:rsidRPr="00DD40E6" w:rsidRDefault="00D675B4" w:rsidP="00D675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Территория республики делилась на 10 округов: Оршанский,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Бобруйский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Борисовский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Витебский, Калининский, Могилевский,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Мозырский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, Минский, Полоцкий и Слуцкий.</w:t>
      </w:r>
    </w:p>
    <w:p w:rsidR="00D675B4" w:rsidRPr="00DD40E6" w:rsidRDefault="00D675B4" w:rsidP="00D675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В декабре 1926 года Президиум ВЦИК издал постановление о передаче БССР Гомельского и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Речицкого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 уездов, которые были переименованы в округа.</w:t>
      </w:r>
    </w:p>
    <w:p w:rsidR="00D675B4" w:rsidRPr="00DD40E6" w:rsidRDefault="00D675B4" w:rsidP="00D675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Вскоре существовавшее административно-территориальное деление подверглось пересмотру.</w:t>
      </w:r>
    </w:p>
    <w:p w:rsidR="00D675B4" w:rsidRPr="00DD40E6" w:rsidRDefault="00D675B4" w:rsidP="00D675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С июня 1927 года началась постепенная ликвидация округов, а к 1930 году на территории БССР осталось только районное деление.</w:t>
      </w:r>
    </w:p>
    <w:p w:rsidR="00D675B4" w:rsidRPr="00DD40E6" w:rsidRDefault="00D675B4" w:rsidP="00D675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DD40E6">
        <w:rPr>
          <w:rFonts w:ascii="Times New Roman" w:eastAsia="Times New Roman" w:hAnsi="Times New Roman"/>
          <w:color w:val="000000"/>
          <w:sz w:val="30"/>
          <w:szCs w:val="30"/>
        </w:rPr>
        <w:lastRenderedPageBreak/>
        <w:t xml:space="preserve">С 15 января 1938 года в республике было введено областное деление: Витебская область включала в себя 20 районов, Гомельская – 14, Минская – 20,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Полесская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 – 15.</w:t>
      </w:r>
    </w:p>
    <w:p w:rsidR="00D675B4" w:rsidRPr="00DD40E6" w:rsidRDefault="00D675B4" w:rsidP="00D675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15 января 1938 года решением Первой сессии Верховного Совета СССР была образована Могилевская область, которая включала в себя 21 район: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Белыничский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Березинский,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Бобруйский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Быховский, Горецкий,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Дрибинский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Климовичский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Кличевский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Кировский, Костюковичский, Краснопольский, Кричевский,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Круглянский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Могилевский, Мстиславский,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Осиповичский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Пропойский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Хотимский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Чаусский,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Чериковский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 и Шкловский. </w:t>
      </w:r>
    </w:p>
    <w:p w:rsidR="00D675B4" w:rsidRPr="00DD40E6" w:rsidRDefault="00D675B4" w:rsidP="00D675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Данное решение нашло подтверждение в основном государственном документе </w:t>
      </w:r>
      <w:r>
        <w:rPr>
          <w:rFonts w:ascii="Times New Roman" w:eastAsia="Times New Roman" w:hAnsi="Times New Roman"/>
          <w:color w:val="000000"/>
          <w:sz w:val="30"/>
          <w:szCs w:val="30"/>
        </w:rPr>
        <w:t>–</w:t>
      </w:r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 статья 29 Конституции СССР изложена следующим образом: «Белорусская Советская Социалистическая Республика состоит из областей: Витебской, Гомельской, Минской, Могилевской и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Полесской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».</w:t>
      </w:r>
    </w:p>
    <w:p w:rsidR="00D675B4" w:rsidRDefault="00D675B4" w:rsidP="00D675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Расширение территории БССР и введение нового административно-территориального деления значительно укрепило ее как союзную республику, активизировало в ней хозяйственное и культурное строительство. Население этих районов положительно относилось к изменению своего государственного статуса.</w:t>
      </w:r>
    </w:p>
    <w:p w:rsidR="00D675B4" w:rsidRDefault="00D675B4" w:rsidP="00D675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>В настоящее время Могилевская область сумела достигнуть высоких показателей в социально-экономическом развитии.</w:t>
      </w:r>
    </w:p>
    <w:p w:rsidR="00D675B4" w:rsidRPr="00E069FD" w:rsidRDefault="00D675B4" w:rsidP="00D675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E069FD">
        <w:rPr>
          <w:rFonts w:ascii="Times New Roman" w:eastAsia="Times New Roman" w:hAnsi="Times New Roman"/>
          <w:color w:val="000000"/>
          <w:sz w:val="30"/>
          <w:szCs w:val="30"/>
        </w:rPr>
        <w:t>В текущем периоде в Могилевской области обеспечено выполнение 4 из 8 показателей матрицы задач вертикали власти: номинальная начисленная среднемесячная заработная плата за январь-ноябрь 2022 г. – 113,4 процента при задании на январь-декабрь 2022 г. 109,7 процента, совокупные поступления доходов консолидированного бюджета области за январь-ноябрь 2022 г. – 117,6 процента при задании на январь-декабрь 2022 г. 107,6 процента, объем производства импортозамещающих товаров за январь-сентябрь 2022 г. – 640 млн. долларов при задании на январь-декабрь 2022 г. 820 млн. долларов и снижение уровня затрат на производство и реализацию продукции за январь-сентябрь 2022 г. – «минус» 1,8 процента при нормативе «минус» 1,5 процента.</w:t>
      </w:r>
    </w:p>
    <w:p w:rsidR="00D675B4" w:rsidRPr="00E069FD" w:rsidRDefault="00D675B4" w:rsidP="00D675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E069FD">
        <w:rPr>
          <w:rFonts w:ascii="Times New Roman" w:eastAsia="Times New Roman" w:hAnsi="Times New Roman"/>
          <w:b/>
          <w:bCs/>
          <w:color w:val="000000"/>
          <w:sz w:val="30"/>
          <w:szCs w:val="30"/>
        </w:rPr>
        <w:t>Валовой региональный продукт.</w:t>
      </w:r>
      <w:r w:rsidRPr="00E069FD">
        <w:rPr>
          <w:rFonts w:ascii="Times New Roman" w:eastAsia="Times New Roman" w:hAnsi="Times New Roman"/>
          <w:color w:val="000000"/>
          <w:sz w:val="30"/>
          <w:szCs w:val="30"/>
        </w:rPr>
        <w:t xml:space="preserve"> Объем валового регионального продукта (далее – ВРП) за январь-ноябрь 2022 г. составил 13,9 млрд. рублей в текущих ценах, или 97,1 процента к аналогичному периоду 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 </w:t>
      </w:r>
      <w:r w:rsidRPr="00E069FD">
        <w:rPr>
          <w:rFonts w:ascii="Times New Roman" w:eastAsia="Times New Roman" w:hAnsi="Times New Roman"/>
          <w:color w:val="000000"/>
          <w:sz w:val="30"/>
          <w:szCs w:val="30"/>
        </w:rPr>
        <w:t xml:space="preserve">2021 года при задании на 2022 год – 103 процента. </w:t>
      </w:r>
    </w:p>
    <w:p w:rsidR="00D675B4" w:rsidRPr="00E069FD" w:rsidRDefault="00D675B4" w:rsidP="00D675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E069FD">
        <w:rPr>
          <w:rFonts w:ascii="Times New Roman" w:eastAsia="Times New Roman" w:hAnsi="Times New Roman"/>
          <w:color w:val="000000"/>
          <w:sz w:val="30"/>
          <w:szCs w:val="30"/>
        </w:rPr>
        <w:t>Положительный вклад в прирост ВРП оказали секции «сельское, лесное и рыбное хозяйство» (0,2 процента) и «информация и связь» (0,1 процента). Отрицательное влияние оказали секции: промышленность – «минус» 1,7 процента, строительство – «минус» 0,1 процента, оптовая и розничная торговля – «минус» 0,3 процента, транспортная деятельность, складирование, почтовая и курьерская деятельность – «минус» 0,6 процента.</w:t>
      </w:r>
    </w:p>
    <w:p w:rsidR="00D675B4" w:rsidRDefault="00D675B4" w:rsidP="00D675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E069FD">
        <w:rPr>
          <w:rFonts w:ascii="Times New Roman" w:eastAsia="Times New Roman" w:hAnsi="Times New Roman"/>
          <w:color w:val="000000"/>
          <w:sz w:val="30"/>
          <w:szCs w:val="30"/>
        </w:rPr>
        <w:lastRenderedPageBreak/>
        <w:t>Темп производительности труда по ВРП за январь-ноябрь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</w:t>
      </w:r>
      <w:r w:rsidRPr="00E069FD">
        <w:rPr>
          <w:rFonts w:ascii="Times New Roman" w:eastAsia="Times New Roman" w:hAnsi="Times New Roman"/>
          <w:color w:val="000000"/>
          <w:sz w:val="30"/>
          <w:szCs w:val="30"/>
        </w:rPr>
        <w:t>2022 г. составил 98,8 процента. Соотношение индексов производительности труда и реальной заработной платы за январь-октябрь 2022 г. сложилось на уровне 1,01.</w:t>
      </w:r>
    </w:p>
    <w:p w:rsidR="00D675B4" w:rsidRPr="002E634B" w:rsidRDefault="00D675B4" w:rsidP="00D675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2E634B">
        <w:rPr>
          <w:rFonts w:ascii="Times New Roman" w:eastAsia="Times New Roman" w:hAnsi="Times New Roman"/>
          <w:b/>
          <w:bCs/>
          <w:color w:val="000000"/>
          <w:sz w:val="30"/>
          <w:szCs w:val="30"/>
        </w:rPr>
        <w:t>Предпринимательская деятельность.</w:t>
      </w: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 xml:space="preserve"> Согласно сведениям инспекции Министерства по налогам и сборам Республики Беларусь по Могилевской области в январе-ноябре 2022 г. субъектами малого и среднего предпринимательства сформировано 36,8 процента поступлений в бюджет (в январе-ноябре 2021 г. – 39,1 процента).</w:t>
      </w:r>
    </w:p>
    <w:p w:rsidR="00D675B4" w:rsidRPr="002E634B" w:rsidRDefault="00D675B4" w:rsidP="00D675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 xml:space="preserve">По состоянию на 1 декабря 2022 г. количество субъектов малого и среднего предпринимательства составило 33 624 (99,5 процента по сравнению с аналогичной датой прошлого года), в том числе индивидуальных предпринимателей – 26 491 (100,3 процента), микро-, малых и средних организаций – 7 133 (96,6 процента). </w:t>
      </w:r>
    </w:p>
    <w:p w:rsidR="00D675B4" w:rsidRPr="002E634B" w:rsidRDefault="00D675B4" w:rsidP="00D675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 xml:space="preserve">В 2022 году в области создано 512 коммерческих организаций (в 2021 году – 537), в качестве индивидуальных предпринимателей зарегистрировано 2016 человек (в 2021 году – 3053). </w:t>
      </w:r>
    </w:p>
    <w:p w:rsidR="00D675B4" w:rsidRPr="002E634B" w:rsidRDefault="00D675B4" w:rsidP="00D675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7373A8">
        <w:rPr>
          <w:rFonts w:ascii="Times New Roman" w:eastAsia="Times New Roman" w:hAnsi="Times New Roman"/>
          <w:b/>
          <w:bCs/>
          <w:color w:val="000000"/>
          <w:sz w:val="30"/>
          <w:szCs w:val="30"/>
        </w:rPr>
        <w:t>Занятость населения.</w:t>
      </w: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 xml:space="preserve"> В январе-ноябре 2022 г. в экономике Могилевской области было занято 431,2 тыс. человек, что составляет 98,4 процента к январю-ноябрю 2021 г.</w:t>
      </w:r>
    </w:p>
    <w:p w:rsidR="00D675B4" w:rsidRPr="002E634B" w:rsidRDefault="00D675B4" w:rsidP="00D675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>Списочная численность работников крупных и средних предприятий в январе-ноябре 2022 г. составила 299,3 тыс. человек (в январе-ноябре 2021 года – 306,9 тыс. человек).</w:t>
      </w:r>
    </w:p>
    <w:p w:rsidR="00D675B4" w:rsidRPr="002E634B" w:rsidRDefault="00D675B4" w:rsidP="00D675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 xml:space="preserve">В январе-ноябре 2022 г. соотношение принятых и уволенных работников в организациях по области (с учетом малых и </w:t>
      </w:r>
      <w:proofErr w:type="spellStart"/>
      <w:r w:rsidRPr="002E634B">
        <w:rPr>
          <w:rFonts w:ascii="Times New Roman" w:eastAsia="Times New Roman" w:hAnsi="Times New Roman"/>
          <w:color w:val="000000"/>
          <w:sz w:val="30"/>
          <w:szCs w:val="30"/>
        </w:rPr>
        <w:t>микроорганизаций</w:t>
      </w:r>
      <w:proofErr w:type="spellEnd"/>
      <w:r w:rsidRPr="002E634B">
        <w:rPr>
          <w:rFonts w:ascii="Times New Roman" w:eastAsia="Times New Roman" w:hAnsi="Times New Roman"/>
          <w:color w:val="000000"/>
          <w:sz w:val="30"/>
          <w:szCs w:val="30"/>
        </w:rPr>
        <w:t>) составило 92,0 процента, что на 0,3 процентного пункта выше аналогичного периода 2021 года (в январе-ноябре 2021 г. – 91,7 процента). Принято на работу 96,9 тыс. человек, уволено – 105,4 тыс. человек. При этом число уволенных работников сократилось по сравнению с январем-ноябрем 2021 года на 5,4 процента (в январе-ноябре 2021 г. принято на работу – 102,1 тыс. человек, уволено – 111,4 тыс. человек).</w:t>
      </w:r>
    </w:p>
    <w:p w:rsidR="00D675B4" w:rsidRPr="002E634B" w:rsidRDefault="00D675B4" w:rsidP="00D675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 xml:space="preserve">По крупным и средним предприятиям восполнение кадров в промышленности составило 86,5 процента, сельском, лесном и рыбном хозяйстве – 93,3 процента, строительстве – 84,2 процента, оптовой и розничной торговле – 94,5 процента, транспортной деятельности, почтовой, курьерской деятельности – 71,6 процента, образовании – 92,5 процента, здравоохранении и социальных услугах – 100,1 процента. </w:t>
      </w:r>
    </w:p>
    <w:p w:rsidR="00D675B4" w:rsidRPr="002E634B" w:rsidRDefault="00D675B4" w:rsidP="00D675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 xml:space="preserve">В январе-ноябре 2022 году в режиме вынужденной неполной занятости работали 3,0 тыс. человек, или 1,0 процент от списочной численности работников (январь-ноябрь 2021 г. – 2,7 тыс. человек, или 0,9 процента). При этом данный показатель является самым низким среди регионов республики. </w:t>
      </w:r>
    </w:p>
    <w:p w:rsidR="00D675B4" w:rsidRPr="002E634B" w:rsidRDefault="00D675B4" w:rsidP="00D675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2E634B">
        <w:rPr>
          <w:rFonts w:ascii="Times New Roman" w:eastAsia="Times New Roman" w:hAnsi="Times New Roman"/>
          <w:color w:val="000000"/>
          <w:sz w:val="30"/>
          <w:szCs w:val="30"/>
        </w:rPr>
        <w:lastRenderedPageBreak/>
        <w:t>Численность работников, переведенных на работу с неполной рабочей неделей (днем), составила 1,6 тыс. человек (в январе-</w:t>
      </w:r>
      <w:proofErr w:type="gramStart"/>
      <w:r w:rsidRPr="002E634B">
        <w:rPr>
          <w:rFonts w:ascii="Times New Roman" w:eastAsia="Times New Roman" w:hAnsi="Times New Roman"/>
          <w:color w:val="000000"/>
          <w:sz w:val="30"/>
          <w:szCs w:val="30"/>
        </w:rPr>
        <w:t xml:space="preserve">ноябре 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</w:t>
      </w: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>2021</w:t>
      </w:r>
      <w:proofErr w:type="gramEnd"/>
      <w:r w:rsidRPr="002E634B">
        <w:rPr>
          <w:rFonts w:ascii="Times New Roman" w:eastAsia="Times New Roman" w:hAnsi="Times New Roman"/>
          <w:color w:val="000000"/>
          <w:sz w:val="30"/>
          <w:szCs w:val="30"/>
        </w:rPr>
        <w:t xml:space="preserve"> г. – 1,9 тыс. человек).</w:t>
      </w:r>
    </w:p>
    <w:p w:rsidR="00D675B4" w:rsidRPr="002E634B" w:rsidRDefault="00D675B4" w:rsidP="00D675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>Численность работников, которым были предоставлены отпуска по инициативе нанимателя, составила 1,4 тыс. человек (в январе-ноябре 2021 г. – 0,8 тыс. человек).</w:t>
      </w:r>
    </w:p>
    <w:p w:rsidR="00D675B4" w:rsidRPr="002E634B" w:rsidRDefault="00D675B4" w:rsidP="00D675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>Кроме того, в январе-ноябре 2022 г. в целодневном (</w:t>
      </w:r>
      <w:proofErr w:type="spellStart"/>
      <w:r w:rsidRPr="002E634B">
        <w:rPr>
          <w:rFonts w:ascii="Times New Roman" w:eastAsia="Times New Roman" w:hAnsi="Times New Roman"/>
          <w:color w:val="000000"/>
          <w:sz w:val="30"/>
          <w:szCs w:val="30"/>
        </w:rPr>
        <w:t>целосменном</w:t>
      </w:r>
      <w:proofErr w:type="spellEnd"/>
      <w:r w:rsidRPr="002E634B">
        <w:rPr>
          <w:rFonts w:ascii="Times New Roman" w:eastAsia="Times New Roman" w:hAnsi="Times New Roman"/>
          <w:color w:val="000000"/>
          <w:sz w:val="30"/>
          <w:szCs w:val="30"/>
        </w:rPr>
        <w:t>) простое находились 6,4 тыс. работников, или 2,1 процента от списочной численности (в январе-ноябре 2021 года – 3,6 тыс. работников, или 1,2 процента).</w:t>
      </w:r>
    </w:p>
    <w:p w:rsidR="00D675B4" w:rsidRPr="002E634B" w:rsidRDefault="00D675B4" w:rsidP="00D675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>В то же время в ноябре 2022 года отмечается положительная динамика по сравнению с мартом 2022 года. Так, в режиме вынужденной неполной занятости работали 495 человек, что в 3,0 раза меньше, чем в марте текущего года, в простоях находилось 2,2 тыс. человек, что в 1,8 раза меньше уровня марта 2022 года.</w:t>
      </w:r>
    </w:p>
    <w:p w:rsidR="00D675B4" w:rsidRPr="002E634B" w:rsidRDefault="00D675B4" w:rsidP="00D675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 xml:space="preserve">На рынке труда как области в целом, так и регионов наблюдается устойчивое превышение спроса на рабочую силу над ее предложением, что подтверждает реальную возможность для трудоустройства незанятого населения. </w:t>
      </w:r>
    </w:p>
    <w:p w:rsidR="00D675B4" w:rsidRPr="002E634B" w:rsidRDefault="00D675B4" w:rsidP="00D675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 xml:space="preserve">При этом отмечается рост спроса на рабочую силу. По состоянию на 1 января 2023 г. в управления по труду, занятости и социальной защите </w:t>
      </w:r>
      <w:proofErr w:type="spellStart"/>
      <w:r w:rsidRPr="002E634B">
        <w:rPr>
          <w:rFonts w:ascii="Times New Roman" w:eastAsia="Times New Roman" w:hAnsi="Times New Roman"/>
          <w:color w:val="000000"/>
          <w:sz w:val="30"/>
          <w:szCs w:val="30"/>
        </w:rPr>
        <w:t>горрайисполкомов</w:t>
      </w:r>
      <w:proofErr w:type="spellEnd"/>
      <w:r w:rsidRPr="002E634B">
        <w:rPr>
          <w:rFonts w:ascii="Times New Roman" w:eastAsia="Times New Roman" w:hAnsi="Times New Roman"/>
          <w:color w:val="000000"/>
          <w:sz w:val="30"/>
          <w:szCs w:val="30"/>
        </w:rPr>
        <w:t xml:space="preserve"> (далее – управления по труду) 1,4 тыс. нанимателей области заявили о наличии 9,6 тыс. вакансий (61,0 процент – по рабочим профессиям), что составило 102,5 процента к началу 2022 года. </w:t>
      </w:r>
    </w:p>
    <w:p w:rsidR="00D675B4" w:rsidRPr="002E634B" w:rsidRDefault="00D675B4" w:rsidP="00D675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>По итогам работы за 2022 год в целом по Могилевской области обеспечено выполнение прогнозных показателей в области содействия занятости населения, определенных протоколом заседания Президиума Совета Министров Республики Беларусь от 25 января 2022 г. № 1:</w:t>
      </w:r>
    </w:p>
    <w:p w:rsidR="00D675B4" w:rsidRPr="002E634B" w:rsidRDefault="00D675B4" w:rsidP="00D675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proofErr w:type="gramStart"/>
      <w:r w:rsidRPr="002E634B">
        <w:rPr>
          <w:rFonts w:ascii="Times New Roman" w:eastAsia="Times New Roman" w:hAnsi="Times New Roman"/>
          <w:color w:val="000000"/>
          <w:sz w:val="30"/>
          <w:szCs w:val="30"/>
        </w:rPr>
        <w:t>удельный</w:t>
      </w:r>
      <w:proofErr w:type="gramEnd"/>
      <w:r w:rsidRPr="002E634B">
        <w:rPr>
          <w:rFonts w:ascii="Times New Roman" w:eastAsia="Times New Roman" w:hAnsi="Times New Roman"/>
          <w:color w:val="000000"/>
          <w:sz w:val="30"/>
          <w:szCs w:val="30"/>
        </w:rPr>
        <w:t xml:space="preserve"> вес трудоустроенных граждан, обратившихся в органы по труду, занятости и социальной защите, составил 78,9 процента при прогнозном показателе на 2022 год 75 процентов и возрос к уровню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</w:t>
      </w: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>2021 года на 4,2 процента;</w:t>
      </w:r>
    </w:p>
    <w:p w:rsidR="00D675B4" w:rsidRPr="002E634B" w:rsidRDefault="00D675B4" w:rsidP="00D675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proofErr w:type="gramStart"/>
      <w:r w:rsidRPr="002E634B">
        <w:rPr>
          <w:rFonts w:ascii="Times New Roman" w:eastAsia="Times New Roman" w:hAnsi="Times New Roman"/>
          <w:color w:val="000000"/>
          <w:sz w:val="30"/>
          <w:szCs w:val="30"/>
        </w:rPr>
        <w:t>удельный</w:t>
      </w:r>
      <w:proofErr w:type="gramEnd"/>
      <w:r w:rsidRPr="002E634B">
        <w:rPr>
          <w:rFonts w:ascii="Times New Roman" w:eastAsia="Times New Roman" w:hAnsi="Times New Roman"/>
          <w:color w:val="000000"/>
          <w:sz w:val="30"/>
          <w:szCs w:val="30"/>
        </w:rPr>
        <w:t xml:space="preserve"> вес трудоустроенных безработных, имеющих дополнительные гарантии занятости – 67,7 процента от числа нуждающихся в трудоустройстве безработных указанной категории при прогнозном показателе 62 процента и возрос к 2021 году на 1,4 процента;</w:t>
      </w:r>
    </w:p>
    <w:p w:rsidR="00D675B4" w:rsidRPr="002E634B" w:rsidRDefault="00D675B4" w:rsidP="00D675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proofErr w:type="gramStart"/>
      <w:r w:rsidRPr="002E634B">
        <w:rPr>
          <w:rFonts w:ascii="Times New Roman" w:eastAsia="Times New Roman" w:hAnsi="Times New Roman"/>
          <w:color w:val="000000"/>
          <w:sz w:val="30"/>
          <w:szCs w:val="30"/>
        </w:rPr>
        <w:t>организовано</w:t>
      </w:r>
      <w:proofErr w:type="gramEnd"/>
      <w:r w:rsidRPr="002E634B">
        <w:rPr>
          <w:rFonts w:ascii="Times New Roman" w:eastAsia="Times New Roman" w:hAnsi="Times New Roman"/>
          <w:color w:val="000000"/>
          <w:sz w:val="30"/>
          <w:szCs w:val="30"/>
        </w:rPr>
        <w:t xml:space="preserve"> обучение «под «заказ» нанимателя – 84,9 процента при прогнозном показателе на конец 2022 года 77 процентов.</w:t>
      </w:r>
    </w:p>
    <w:p w:rsidR="00D675B4" w:rsidRPr="002E634B" w:rsidRDefault="00D675B4" w:rsidP="00D675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>В течение 2022 года в управления по труду Могилевской области за содействием в трудоустройстве обратились 22,1 тыс. граждан, из них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</w:t>
      </w: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 xml:space="preserve">9,3 тыс. человек зарегистрированы в качестве безработных, что составило 104,4 процента и 91,1 процента к уровню 2021 года соответственно. </w:t>
      </w:r>
    </w:p>
    <w:p w:rsidR="00D675B4" w:rsidRPr="002E634B" w:rsidRDefault="00D675B4" w:rsidP="00D675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2E634B">
        <w:rPr>
          <w:rFonts w:ascii="Times New Roman" w:eastAsia="Times New Roman" w:hAnsi="Times New Roman"/>
          <w:color w:val="000000"/>
          <w:sz w:val="30"/>
          <w:szCs w:val="30"/>
        </w:rPr>
        <w:lastRenderedPageBreak/>
        <w:t xml:space="preserve">В 2022 году при содействии управлений по труду трудоустроено 18,4 тыс. граждан, в том числе 6,7 тыс. безработных, из них 2,1 тыс. безработных, имеющих дополнительные гарантии занятости. </w:t>
      </w:r>
    </w:p>
    <w:p w:rsidR="00D675B4" w:rsidRPr="002E634B" w:rsidRDefault="00D675B4" w:rsidP="00D675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>В целях повышения конкурентоспособности на рынке труда в 2022 году организовано обучение 748 граждан, в том числе 704 безработных, из них «под заказ» нанимателей с гарантией последующего трудоустройства направлены на обучение 598 безработных.</w:t>
      </w:r>
    </w:p>
    <w:p w:rsidR="00D675B4" w:rsidRPr="002E634B" w:rsidRDefault="00D675B4" w:rsidP="00D675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>Для организации предпринимательской, ремесленной деятельности 229 безработным выделены субсидии. Организованы оплачиваемые общественные работы, участие в которых приняли 5,4 тыс. человек.</w:t>
      </w:r>
    </w:p>
    <w:p w:rsidR="00D675B4" w:rsidRPr="002E634B" w:rsidRDefault="00D675B4" w:rsidP="00D675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3E0AA4">
        <w:rPr>
          <w:rFonts w:ascii="Times New Roman" w:eastAsia="Times New Roman" w:hAnsi="Times New Roman"/>
          <w:b/>
          <w:bCs/>
          <w:color w:val="000000"/>
          <w:sz w:val="30"/>
          <w:szCs w:val="30"/>
        </w:rPr>
        <w:t>Заработная плата.</w:t>
      </w: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 xml:space="preserve"> Номинальная начисленная среднемесячная заработная плата по Могилевской области за январь-ноябрь 2022 г. составила 1 298,9 рубля. Темп роста к соответствующему периоду 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                </w:t>
      </w: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 xml:space="preserve">2021 года в номинальном исчислении составил 113,4 процента (по стране – 113,1 процента), в реальном – 98,3 процента (по стране – 98,0 процентов). </w:t>
      </w:r>
    </w:p>
    <w:p w:rsidR="00D675B4" w:rsidRPr="002E634B" w:rsidRDefault="00D675B4" w:rsidP="00D675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>В бюджетных организациях области среднемесячная заработная плата в январе-ноябре 2022 г. составила 1 161,2 рубля, или 89,4 процента от средней заработной платы по области. Темп роста к соответствующему периоду 2021 года в номинальном исчислении – 108,4 процента, в реальном – 93,9 процента.</w:t>
      </w:r>
    </w:p>
    <w:p w:rsidR="00D675B4" w:rsidRPr="002E634B" w:rsidRDefault="00D675B4" w:rsidP="00D675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 xml:space="preserve">Коэффициент соотношения темпов роста выручки от реализации продукции на 1 работника и темпов роста заработной платы </w:t>
      </w:r>
    </w:p>
    <w:p w:rsidR="00D675B4" w:rsidRDefault="00D675B4" w:rsidP="00D675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proofErr w:type="gramStart"/>
      <w:r w:rsidRPr="002E634B">
        <w:rPr>
          <w:rFonts w:ascii="Times New Roman" w:eastAsia="Times New Roman" w:hAnsi="Times New Roman"/>
          <w:color w:val="000000"/>
          <w:sz w:val="30"/>
          <w:szCs w:val="30"/>
        </w:rPr>
        <w:t>за</w:t>
      </w:r>
      <w:proofErr w:type="gramEnd"/>
      <w:r w:rsidRPr="002E634B">
        <w:rPr>
          <w:rFonts w:ascii="Times New Roman" w:eastAsia="Times New Roman" w:hAnsi="Times New Roman"/>
          <w:color w:val="000000"/>
          <w:sz w:val="30"/>
          <w:szCs w:val="30"/>
        </w:rPr>
        <w:t xml:space="preserve"> январь-октябрь 2022 г. в целом по области составил 1,025.</w:t>
      </w:r>
    </w:p>
    <w:p w:rsidR="0072567D" w:rsidRDefault="0072567D">
      <w:bookmarkStart w:id="0" w:name="_GoBack"/>
      <w:bookmarkEnd w:id="0"/>
    </w:p>
    <w:sectPr w:rsidR="0072567D" w:rsidSect="00D675B4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5B4"/>
    <w:rsid w:val="0072567D"/>
    <w:rsid w:val="00D6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79D1A-B3EC-4EA5-BBC9-9CDAF341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5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2064</Words>
  <Characters>11767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2023-01-16T11:50:00Z</dcterms:created>
  <dcterms:modified xsi:type="dcterms:W3CDTF">2023-01-16T11:51:00Z</dcterms:modified>
</cp:coreProperties>
</file>