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23" w:rsidRPr="005C7648" w:rsidRDefault="00384523" w:rsidP="00B3724A">
      <w:pPr>
        <w:widowControl w:val="0"/>
        <w:jc w:val="center"/>
        <w:rPr>
          <w:b/>
          <w:sz w:val="30"/>
          <w:szCs w:val="30"/>
        </w:rPr>
      </w:pPr>
      <w:bookmarkStart w:id="0" w:name="_GoBack"/>
    </w:p>
    <w:p w:rsidR="00634D74" w:rsidRPr="005C7648" w:rsidRDefault="00634D74" w:rsidP="00634D74">
      <w:pPr>
        <w:pStyle w:val="1"/>
        <w:ind w:firstLine="708"/>
        <w:jc w:val="center"/>
        <w:rPr>
          <w:rStyle w:val="a4"/>
          <w:rFonts w:eastAsiaTheme="minorEastAsia"/>
          <w:b/>
          <w:sz w:val="30"/>
          <w:szCs w:val="30"/>
        </w:rPr>
      </w:pPr>
      <w:r w:rsidRPr="005C7648">
        <w:rPr>
          <w:b/>
          <w:sz w:val="30"/>
          <w:szCs w:val="30"/>
        </w:rPr>
        <w:t>Курение как фактор риска развития неинфекционных заболеваний. Ответственность за курение в общественных местах</w:t>
      </w:r>
      <w:r w:rsidRPr="005C7648">
        <w:rPr>
          <w:b/>
          <w:sz w:val="30"/>
          <w:szCs w:val="30"/>
        </w:rPr>
        <w:t>.</w:t>
      </w:r>
    </w:p>
    <w:p w:rsidR="00B3724A" w:rsidRPr="005C7648" w:rsidRDefault="00B3724A" w:rsidP="00384523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Курение табака является одной из наиболее распространенных вредных привычек, представляющих серьезную опасность для здоровья. Оно приводит к формированию табачной зависимости и способствует развитию целого ряда хронических неинфекционных заболеваний.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     </w:t>
      </w:r>
      <w:r w:rsidRPr="005C7648">
        <w:rPr>
          <w:rStyle w:val="a4"/>
          <w:rFonts w:eastAsiaTheme="majorEastAsia"/>
          <w:i w:val="0"/>
          <w:sz w:val="30"/>
          <w:szCs w:val="30"/>
        </w:rPr>
        <w:t xml:space="preserve">         </w:t>
      </w:r>
      <w:r w:rsidRPr="005C7648">
        <w:rPr>
          <w:rStyle w:val="a4"/>
          <w:rFonts w:eastAsiaTheme="minorEastAsia"/>
          <w:i w:val="0"/>
          <w:sz w:val="30"/>
          <w:szCs w:val="30"/>
        </w:rPr>
        <w:t>Потребление табака является одним из основных факторов риска развития целого ряда хронических болезней, включая рак, болезни легких и сердечно-сосудистые заболевания. Несмотря на это, потребление табака широко распространено во всем мире.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       Курение чаще всего приводит к заболеваниям сердца, лёгких, является ключевым фактором риска </w:t>
      </w:r>
      <w:hyperlink r:id="rId4" w:tooltip="Инфаркт миокарда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сердечных приступов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, </w:t>
      </w:r>
      <w:hyperlink r:id="rId5" w:tooltip="Инсульт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инсультов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, </w:t>
      </w:r>
      <w:hyperlink r:id="rId6" w:tooltip="Хроническая обструктивная болезнь лёгких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 xml:space="preserve">хронической </w:t>
        </w:r>
        <w:proofErr w:type="spellStart"/>
        <w:r w:rsidRPr="005C7648">
          <w:rPr>
            <w:rStyle w:val="a4"/>
            <w:rFonts w:eastAsiaTheme="minorEastAsia"/>
            <w:i w:val="0"/>
            <w:sz w:val="30"/>
            <w:szCs w:val="30"/>
          </w:rPr>
          <w:t>обструктивной</w:t>
        </w:r>
        <w:proofErr w:type="spellEnd"/>
        <w:r w:rsidRPr="005C7648">
          <w:rPr>
            <w:rStyle w:val="a4"/>
            <w:rFonts w:eastAsiaTheme="minorEastAsia"/>
            <w:i w:val="0"/>
            <w:sz w:val="30"/>
            <w:szCs w:val="30"/>
          </w:rPr>
          <w:t xml:space="preserve"> болезни лёгких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, (включая </w:t>
      </w:r>
      <w:hyperlink r:id="rId7" w:tooltip="Эмфизема лёгких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эмфизему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 и </w:t>
      </w:r>
      <w:hyperlink r:id="rId8" w:anchor="%D0%A5%D1%80%D0%BE%D0%BD%D0%B8%D1%87%D0%B5%D1%81%D0%BA%D0%B8%D0%B9_%D0%B1%D1%80%D0%BE%D0%BD%D1%85%D0%B8%D1%82" w:tooltip="Бронхит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хронические бронхиты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) и нескольких видов рака (в особенности </w:t>
      </w:r>
      <w:hyperlink r:id="rId9" w:tooltip="Рак легких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рака лёгких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, </w:t>
      </w:r>
      <w:hyperlink r:id="rId10" w:tooltip="Рак гортани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рака гортани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, </w:t>
      </w:r>
      <w:hyperlink r:id="rId11" w:tooltip="Рак мочевого пузыря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рака мочевого пузыря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 и </w:t>
      </w:r>
      <w:hyperlink r:id="rId12" w:tooltip="Рак поджелудочной железы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рака поджелудочной железы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). Курение также вызывает заболевания сосудистой системы и </w:t>
      </w:r>
      <w:hyperlink r:id="rId13" w:tooltip="Гипертония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повышенное артериальное давление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. Последствия зависят от длительности курения, а также от интенсивности. Употребление табака является значительным фактором </w:t>
      </w:r>
      <w:hyperlink r:id="rId14" w:tooltip="Выкидыш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выкидышей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 у беременных курильщиц, а также влечёт за собой множество проблем со здоровьем у </w:t>
      </w:r>
      <w:hyperlink r:id="rId15" w:tooltip="Плод (анатомия)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плода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, таких как </w:t>
      </w:r>
      <w:hyperlink r:id="rId16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преждевременные роды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>, малый вес новорождённых, и увеличивает вероятность </w:t>
      </w:r>
      <w:hyperlink r:id="rId17" w:tooltip="Всемирная организация здравоохранения" w:history="1">
        <w:r w:rsidRPr="005C7648">
          <w:rPr>
            <w:rStyle w:val="a4"/>
            <w:rFonts w:eastAsiaTheme="minorEastAsia"/>
            <w:i w:val="0"/>
            <w:sz w:val="30"/>
            <w:szCs w:val="30"/>
          </w:rPr>
          <w:t>синдрома внезапной детской смерти</w:t>
        </w:r>
      </w:hyperlink>
      <w:r w:rsidRPr="005C7648">
        <w:rPr>
          <w:rStyle w:val="a4"/>
          <w:rFonts w:eastAsiaTheme="minorEastAsia"/>
          <w:i w:val="0"/>
          <w:sz w:val="30"/>
          <w:szCs w:val="30"/>
        </w:rPr>
        <w:t xml:space="preserve">. 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          В последнее десятилетие происходят изменения в социальном составе курильщиков за счет увеличения доли курящей молодежи и женщин. Особенно вредно курение в детском и подростковом возрасте. Курение вызывает задержку роста, приводит к снижению физического и умственного развития. В результате нарушения обмена веществ повышается утомляемость, происходит общее ослабление организма. 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       У детей и подростков, пользующихся электронными сигаретами, шансы начать курить настоящие сигареты в более позднем возрасте не менее чем в два раза выше по сравнению с остальными сверстниками. Использование электронных сигарет увеличивает риск развития сердечно-сосудистых и легочных заболеваний. Никотин, содержащийся в жидкостях для электронных сигарет, вызывает крайне сильную зависимость и может причинить вред еще не полностью сформировавшемуся головному мозгу подростков.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       Люди, </w:t>
      </w:r>
      <w:proofErr w:type="gramStart"/>
      <w:r w:rsidRPr="005C7648">
        <w:rPr>
          <w:rStyle w:val="a4"/>
          <w:rFonts w:eastAsiaTheme="minorEastAsia"/>
          <w:i w:val="0"/>
          <w:sz w:val="30"/>
          <w:szCs w:val="30"/>
        </w:rPr>
        <w:t>находящиеся  рядом</w:t>
      </w:r>
      <w:proofErr w:type="gramEnd"/>
      <w:r w:rsidRPr="005C7648">
        <w:rPr>
          <w:rStyle w:val="a4"/>
          <w:rFonts w:eastAsiaTheme="minorEastAsia"/>
          <w:i w:val="0"/>
          <w:sz w:val="30"/>
          <w:szCs w:val="30"/>
        </w:rPr>
        <w:t xml:space="preserve"> с курильщиками и вынужденные вдыхать табачный дым, заболевают неинфекционными заболеваниями столь же часто, как и курящие. Безопасного уровня воздействия вторичного табачного дыма не существует.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Курение табака — главный фактор риска хронической </w:t>
      </w:r>
      <w:proofErr w:type="spellStart"/>
      <w:r w:rsidRPr="005C7648">
        <w:rPr>
          <w:rStyle w:val="a4"/>
          <w:rFonts w:eastAsiaTheme="minorEastAsia"/>
          <w:i w:val="0"/>
          <w:sz w:val="30"/>
          <w:szCs w:val="30"/>
        </w:rPr>
        <w:t>обструктивной</w:t>
      </w:r>
      <w:proofErr w:type="spellEnd"/>
      <w:r w:rsidRPr="005C7648">
        <w:rPr>
          <w:rStyle w:val="a4"/>
          <w:rFonts w:eastAsiaTheme="minorEastAsia"/>
          <w:i w:val="0"/>
          <w:sz w:val="30"/>
          <w:szCs w:val="30"/>
        </w:rPr>
        <w:t xml:space="preserve"> болезни легких (ХОБЛ). Результаты исследований показывают, что у большинства курящих развивается нарушение функции дыхания </w:t>
      </w:r>
      <w:r w:rsidRPr="005C7648">
        <w:rPr>
          <w:rStyle w:val="a4"/>
          <w:rFonts w:eastAsiaTheme="minorEastAsia"/>
          <w:i w:val="0"/>
          <w:sz w:val="30"/>
          <w:szCs w:val="30"/>
        </w:rPr>
        <w:lastRenderedPageBreak/>
        <w:t xml:space="preserve">вследствие обструкции дыхательных путей, и что ХОБЛ, соответствующая </w:t>
      </w:r>
      <w:proofErr w:type="gramStart"/>
      <w:r w:rsidRPr="005C7648">
        <w:rPr>
          <w:rStyle w:val="a4"/>
          <w:rFonts w:eastAsiaTheme="minorEastAsia"/>
          <w:i w:val="0"/>
          <w:sz w:val="30"/>
          <w:szCs w:val="30"/>
        </w:rPr>
        <w:t>критериям</w:t>
      </w:r>
      <w:r w:rsidR="00384523" w:rsidRPr="005C7648">
        <w:rPr>
          <w:rStyle w:val="a4"/>
          <w:rFonts w:eastAsiaTheme="minorEastAsia"/>
          <w:i w:val="0"/>
          <w:sz w:val="30"/>
          <w:szCs w:val="30"/>
        </w:rPr>
        <w:t xml:space="preserve"> </w:t>
      </w:r>
      <w:r w:rsidRPr="005C7648">
        <w:rPr>
          <w:rStyle w:val="a4"/>
          <w:rFonts w:eastAsiaTheme="minorEastAsia"/>
          <w:i w:val="0"/>
          <w:sz w:val="30"/>
          <w:szCs w:val="30"/>
        </w:rPr>
        <w:t xml:space="preserve"> Глобальной</w:t>
      </w:r>
      <w:proofErr w:type="gramEnd"/>
      <w:r w:rsidRPr="005C7648">
        <w:rPr>
          <w:rStyle w:val="a4"/>
          <w:rFonts w:eastAsiaTheme="minorEastAsia"/>
          <w:i w:val="0"/>
          <w:sz w:val="30"/>
          <w:szCs w:val="30"/>
        </w:rPr>
        <w:t xml:space="preserve"> стратегии диагностики, лечения и профилактики ХОБЛ, в конечном итоге развивается у 50% потребителей табака.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 </w:t>
      </w:r>
      <w:r w:rsidRPr="005C7648">
        <w:rPr>
          <w:rStyle w:val="a4"/>
          <w:rFonts w:eastAsiaTheme="minorEastAsia"/>
          <w:i w:val="0"/>
          <w:sz w:val="30"/>
          <w:szCs w:val="30"/>
        </w:rPr>
        <w:tab/>
        <w:t>Курение – дорогое удовольствие, за которое приходится платить своим внешним видом и здоровьем. К последствиям курения относятся неприятный запах изо рта, пожелтение зубов, старение кожи, нарушения здоровья легких и работы иммунной системы.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ab/>
        <w:t>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Из сказанного, очевидно, что главная мера профилактики вредного влияния курения на организм – полностью отказаться от курения и избежать длительного общения с курящими.</w:t>
      </w:r>
    </w:p>
    <w:p w:rsidR="00B3724A" w:rsidRPr="005C7648" w:rsidRDefault="00B3724A" w:rsidP="00B3724A">
      <w:pPr>
        <w:pStyle w:val="1"/>
        <w:ind w:firstLine="708"/>
        <w:rPr>
          <w:rFonts w:eastAsiaTheme="minorEastAsia"/>
          <w:sz w:val="30"/>
          <w:szCs w:val="30"/>
        </w:rPr>
      </w:pPr>
      <w:r w:rsidRPr="005C7648">
        <w:rPr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5C7648">
        <w:rPr>
          <w:sz w:val="30"/>
          <w:szCs w:val="30"/>
        </w:rPr>
        <w:t>табакокурения</w:t>
      </w:r>
      <w:proofErr w:type="spellEnd"/>
      <w:r w:rsidRPr="005C7648">
        <w:rPr>
          <w:sz w:val="30"/>
          <w:szCs w:val="30"/>
        </w:rPr>
        <w:t>. 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24 января 2019 года Президентом Республики Беларусь подписан Декрет №2 (далее – Декрет) по вопросам совершенствования оборота и потребления табачных изделий, электронных систем курения и систем для потребления табака, который вступил в силу 27 июля 2019 года.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Основной целью документа является последовательное ограничение доступности табачных изделий, электронных систем курения, жидкостей для них, систем для потребления табака. Это в свою очередь будет способствовать предотвращению негативного влияния курения на состояние здоровья настоящего и будущих поколений, а также создаст условия для защиты здоровья граждан от воздействия окружающего табачного дыма и последствий потребления (курения) табачных изделий, использования электронных систем курения, систем для потребления табака.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Декрет содержит нормы различного характера. В частности, предусмотрены запрещающие меры. В числе основных – запрет на рекламу жидкостей для электронных систем курения, а также оказание спонсорской безвозмездной помощи в виде табачных изделий, электронных систем курения, жидкостей для них, систем потребления табака. 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Антитабачный декрет также содержит запрет на использование на вывесках торговых объектов слов, тождественных или сходных до степени смешения с наименованием видов табачных изделий. С 1 января 2022 </w:t>
      </w:r>
      <w:proofErr w:type="gramStart"/>
      <w:r w:rsidRPr="005C7648">
        <w:rPr>
          <w:rStyle w:val="a4"/>
          <w:rFonts w:eastAsiaTheme="minorEastAsia"/>
          <w:i w:val="0"/>
          <w:sz w:val="30"/>
          <w:szCs w:val="30"/>
        </w:rPr>
        <w:t xml:space="preserve">года  </w:t>
      </w:r>
      <w:r w:rsidRPr="005C7648">
        <w:rPr>
          <w:rStyle w:val="a4"/>
          <w:rFonts w:eastAsiaTheme="minorEastAsia"/>
          <w:i w:val="0"/>
          <w:sz w:val="30"/>
          <w:szCs w:val="30"/>
        </w:rPr>
        <w:lastRenderedPageBreak/>
        <w:t>введен</w:t>
      </w:r>
      <w:proofErr w:type="gramEnd"/>
      <w:r w:rsidRPr="005C7648">
        <w:rPr>
          <w:rStyle w:val="a4"/>
          <w:rFonts w:eastAsiaTheme="minorEastAsia"/>
          <w:i w:val="0"/>
          <w:sz w:val="30"/>
          <w:szCs w:val="30"/>
        </w:rPr>
        <w:t xml:space="preserve"> запрет на использование оборудования, размещаемого над контрольно-кассовыми узлами.</w:t>
      </w:r>
    </w:p>
    <w:p w:rsidR="00B3724A" w:rsidRPr="005C7648" w:rsidRDefault="00B3724A" w:rsidP="00384523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Ряд нововведений касается нанесения информации на потребительскую упаковку. В частности, на упаковке электронных систем курения (в том числе жидкостей для них), а также систем для потребления табака содержаться сведений на русском или белорусском языке о запрете продажи этих изделий, систем, жидкостей лицам моложе 18 лет.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В целях создания бездымной среды разделены объекты, в которых запрещается курение, на две категории, в которых полностью запрещено курение и невозможно создавать специальные зоны для курения, и те, в которых курение запрещено, но при этом должны быть созданы специально предназначенные для этой цели места.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Так, к объектам, в которых установлен полный запрет на курение: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- на рабочих местах;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- на станциях метро, остановках общественного транспорта и в самом общественном транспорте;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- в лифтах и вспомогательных помещениях жилых объектов;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- на детских площадках и в подземных переходах;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- в спортивно-оздоровительных и иных лагерях;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- на территориях учреждений образования;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- в личных авто в присутствии детей до 14 лет;</w:t>
      </w:r>
    </w:p>
    <w:p w:rsidR="00B3724A" w:rsidRPr="005C7648" w:rsidRDefault="00B3724A" w:rsidP="00B3724A">
      <w:pPr>
        <w:pStyle w:val="1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 xml:space="preserve">- а также в любых иных местах, где размещен соответствующий знак о запрете </w:t>
      </w:r>
      <w:proofErr w:type="gramStart"/>
      <w:r w:rsidRPr="005C7648">
        <w:rPr>
          <w:rStyle w:val="a4"/>
          <w:rFonts w:eastAsiaTheme="minorEastAsia"/>
          <w:i w:val="0"/>
          <w:sz w:val="30"/>
          <w:szCs w:val="30"/>
        </w:rPr>
        <w:t>курения,  утвержденный</w:t>
      </w:r>
      <w:proofErr w:type="gramEnd"/>
      <w:r w:rsidRPr="005C7648">
        <w:rPr>
          <w:rStyle w:val="a4"/>
          <w:rFonts w:eastAsiaTheme="minorEastAsia"/>
          <w:i w:val="0"/>
          <w:sz w:val="30"/>
          <w:szCs w:val="30"/>
        </w:rPr>
        <w:t xml:space="preserve"> Министерством здравоохранения.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К объектам, в которых курение разрешено в специально созданных (выделенных) для этой цели местах, отнесены организации здравоохранения, культуры, физической культуры и спорта, организации, оказывающие социальные услуги, торговые объекты, объекты бытового обслуживания и общественного питания (в том числе так называемые «летние площадки»), государственные органы, вокзалы, аэропорты, территории пляжей.</w:t>
      </w:r>
    </w:p>
    <w:p w:rsidR="00B3724A" w:rsidRPr="005C7648" w:rsidRDefault="00B3724A" w:rsidP="00B3724A">
      <w:pPr>
        <w:pStyle w:val="1"/>
        <w:ind w:firstLine="708"/>
        <w:rPr>
          <w:rStyle w:val="a4"/>
          <w:rFonts w:eastAsiaTheme="minorEastAsia"/>
          <w:i w:val="0"/>
          <w:sz w:val="30"/>
          <w:szCs w:val="30"/>
        </w:rPr>
      </w:pPr>
      <w:r w:rsidRPr="005C7648">
        <w:rPr>
          <w:rStyle w:val="a4"/>
          <w:rFonts w:eastAsiaTheme="minorEastAsia"/>
          <w:i w:val="0"/>
          <w:sz w:val="30"/>
          <w:szCs w:val="30"/>
        </w:rPr>
        <w:t>Статья 17.9 Кодекса Республики Беларусь об административных правонарушениях предусматривает административную ответственность в виде штрафа до четырех базовых величин за курение (потребление) табачных изделий в местах, где оно в соответствии с законодательными актами запрещено.</w:t>
      </w:r>
    </w:p>
    <w:p w:rsidR="00B3724A" w:rsidRPr="005C7648" w:rsidRDefault="00B3724A" w:rsidP="00B3724A">
      <w:pPr>
        <w:pStyle w:val="1"/>
        <w:rPr>
          <w:rFonts w:eastAsiaTheme="minorEastAsia"/>
          <w:sz w:val="30"/>
          <w:szCs w:val="30"/>
        </w:rPr>
      </w:pPr>
    </w:p>
    <w:p w:rsidR="00B3724A" w:rsidRPr="005C7648" w:rsidRDefault="00B3724A" w:rsidP="00B3724A">
      <w:pPr>
        <w:pStyle w:val="1"/>
        <w:rPr>
          <w:sz w:val="30"/>
          <w:szCs w:val="30"/>
        </w:rPr>
      </w:pPr>
    </w:p>
    <w:p w:rsidR="00384523" w:rsidRPr="005C7648" w:rsidRDefault="00384523" w:rsidP="00B3724A">
      <w:pPr>
        <w:pStyle w:val="1"/>
        <w:rPr>
          <w:sz w:val="30"/>
          <w:szCs w:val="30"/>
        </w:rPr>
      </w:pPr>
    </w:p>
    <w:p w:rsidR="00384523" w:rsidRPr="005C7648" w:rsidRDefault="00384523" w:rsidP="00B3724A">
      <w:pPr>
        <w:pStyle w:val="1"/>
        <w:rPr>
          <w:sz w:val="30"/>
          <w:szCs w:val="30"/>
        </w:rPr>
      </w:pPr>
    </w:p>
    <w:p w:rsidR="00B3724A" w:rsidRPr="005C7648" w:rsidRDefault="00384523" w:rsidP="00634D74">
      <w:pPr>
        <w:pStyle w:val="1"/>
        <w:rPr>
          <w:sz w:val="30"/>
          <w:szCs w:val="30"/>
        </w:rPr>
      </w:pPr>
      <w:r w:rsidRPr="005C7648">
        <w:rPr>
          <w:sz w:val="30"/>
          <w:szCs w:val="30"/>
        </w:rPr>
        <w:t xml:space="preserve">  </w:t>
      </w:r>
    </w:p>
    <w:bookmarkEnd w:id="0"/>
    <w:p w:rsidR="00266470" w:rsidRPr="005C7648" w:rsidRDefault="00266470">
      <w:pPr>
        <w:rPr>
          <w:sz w:val="30"/>
          <w:szCs w:val="30"/>
        </w:rPr>
      </w:pPr>
    </w:p>
    <w:sectPr w:rsidR="00266470" w:rsidRPr="005C7648" w:rsidSect="00634D7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32"/>
    <w:rsid w:val="00266470"/>
    <w:rsid w:val="00384523"/>
    <w:rsid w:val="005C7648"/>
    <w:rsid w:val="00634D74"/>
    <w:rsid w:val="008F406E"/>
    <w:rsid w:val="009E5A30"/>
    <w:rsid w:val="00A41CE7"/>
    <w:rsid w:val="00AF7C38"/>
    <w:rsid w:val="00B3724A"/>
    <w:rsid w:val="00CA76C7"/>
    <w:rsid w:val="00F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7A7B-03C2-4F5D-8FE9-3B49F23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4A"/>
    <w:rPr>
      <w:rFonts w:eastAsia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AF7C38"/>
    <w:pPr>
      <w:keepNext/>
      <w:jc w:val="both"/>
      <w:outlineLvl w:val="0"/>
    </w:pPr>
    <w:rPr>
      <w:rFonts w:eastAsia="Times New Roman" w:cs="Times New Roman"/>
      <w:sz w:val="32"/>
      <w:lang w:eastAsia="en-US"/>
    </w:rPr>
  </w:style>
  <w:style w:type="paragraph" w:styleId="2">
    <w:name w:val="heading 2"/>
    <w:basedOn w:val="a"/>
    <w:next w:val="a"/>
    <w:link w:val="20"/>
    <w:qFormat/>
    <w:rsid w:val="00AF7C38"/>
    <w:pPr>
      <w:keepNext/>
      <w:tabs>
        <w:tab w:val="num" w:pos="1701"/>
      </w:tabs>
      <w:ind w:right="-284"/>
      <w:jc w:val="both"/>
      <w:outlineLvl w:val="1"/>
    </w:pPr>
    <w:rPr>
      <w:rFonts w:eastAsiaTheme="majorEastAsia" w:cstheme="majorBidi"/>
      <w:sz w:val="28"/>
      <w:lang w:eastAsia="en-US"/>
    </w:rPr>
  </w:style>
  <w:style w:type="paragraph" w:styleId="3">
    <w:name w:val="heading 3"/>
    <w:basedOn w:val="a"/>
    <w:next w:val="a"/>
    <w:link w:val="30"/>
    <w:qFormat/>
    <w:rsid w:val="00AF7C38"/>
    <w:pPr>
      <w:keepNext/>
      <w:tabs>
        <w:tab w:val="num" w:pos="1701"/>
      </w:tabs>
      <w:ind w:right="424"/>
      <w:jc w:val="center"/>
      <w:outlineLvl w:val="2"/>
    </w:pPr>
    <w:rPr>
      <w:rFonts w:eastAsiaTheme="majorEastAsia" w:cstheme="majorBidi"/>
      <w:b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AF7C38"/>
    <w:pPr>
      <w:keepNext/>
      <w:tabs>
        <w:tab w:val="num" w:pos="1701"/>
      </w:tabs>
      <w:ind w:right="424"/>
      <w:jc w:val="center"/>
      <w:outlineLvl w:val="3"/>
    </w:pPr>
    <w:rPr>
      <w:rFonts w:eastAsiaTheme="majorEastAsia" w:cstheme="majorBidi"/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E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C38"/>
    <w:rPr>
      <w:sz w:val="32"/>
    </w:rPr>
  </w:style>
  <w:style w:type="character" w:customStyle="1" w:styleId="20">
    <w:name w:val="Заголовок 2 Знак"/>
    <w:link w:val="2"/>
    <w:rsid w:val="00AF7C38"/>
    <w:rPr>
      <w:rFonts w:eastAsiaTheme="majorEastAsia" w:cstheme="majorBidi"/>
      <w:sz w:val="28"/>
    </w:rPr>
  </w:style>
  <w:style w:type="character" w:customStyle="1" w:styleId="30">
    <w:name w:val="Заголовок 3 Знак"/>
    <w:link w:val="3"/>
    <w:rsid w:val="00AF7C38"/>
    <w:rPr>
      <w:rFonts w:eastAsiaTheme="majorEastAsia" w:cstheme="majorBidi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1CE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AF7C38"/>
    <w:rPr>
      <w:b/>
      <w:bCs/>
    </w:rPr>
  </w:style>
  <w:style w:type="character" w:styleId="a4">
    <w:name w:val="Emphasis"/>
    <w:uiPriority w:val="20"/>
    <w:qFormat/>
    <w:rsid w:val="00AF7C38"/>
    <w:rPr>
      <w:i/>
      <w:iCs/>
    </w:rPr>
  </w:style>
  <w:style w:type="paragraph" w:styleId="a5">
    <w:name w:val="No Spacing"/>
    <w:link w:val="a6"/>
    <w:uiPriority w:val="1"/>
    <w:qFormat/>
    <w:rsid w:val="00AF7C38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F7C38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41CE7"/>
    <w:rPr>
      <w:rFonts w:eastAsiaTheme="majorEastAsia" w:cstheme="majorBidi"/>
      <w:b/>
      <w:sz w:val="32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7C38"/>
    <w:rPr>
      <w:rFonts w:ascii="Calibri" w:eastAsia="Calibri" w:hAnsi="Calibri"/>
      <w:sz w:val="22"/>
      <w:szCs w:val="22"/>
    </w:rPr>
  </w:style>
  <w:style w:type="paragraph" w:styleId="a8">
    <w:name w:val="Title"/>
    <w:basedOn w:val="a"/>
    <w:link w:val="a9"/>
    <w:qFormat/>
    <w:rsid w:val="00AF7C38"/>
    <w:pPr>
      <w:jc w:val="center"/>
    </w:pPr>
    <w:rPr>
      <w:rFonts w:eastAsia="Times New Roman" w:cs="Times New Roman"/>
      <w:b/>
      <w:sz w:val="28"/>
      <w:lang w:eastAsia="en-US"/>
    </w:rPr>
  </w:style>
  <w:style w:type="character" w:customStyle="1" w:styleId="a9">
    <w:name w:val="Название Знак"/>
    <w:link w:val="a8"/>
    <w:rsid w:val="00AF7C38"/>
    <w:rPr>
      <w:b/>
      <w:sz w:val="28"/>
    </w:rPr>
  </w:style>
  <w:style w:type="paragraph" w:styleId="aa">
    <w:name w:val="Body Text"/>
    <w:basedOn w:val="a"/>
    <w:link w:val="ab"/>
    <w:uiPriority w:val="99"/>
    <w:semiHidden/>
    <w:unhideWhenUsed/>
    <w:rsid w:val="00B3724A"/>
    <w:pPr>
      <w:spacing w:after="120"/>
    </w:pPr>
    <w:rPr>
      <w:rFonts w:eastAsia="Times New Roman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B3724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E%D0%BD%D1%85%D0%B8%D1%82" TargetMode="External"/><Relationship Id="rId13" Type="http://schemas.openxmlformats.org/officeDocument/2006/relationships/hyperlink" Target="https://ru.wikipedia.org/wiki/%D0%93%D0%B8%D0%BF%D0%B5%D1%80%D1%82%D0%BE%D0%BD%D0%B8%D1%8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D%D0%BC%D1%84%D0%B8%D0%B7%D0%B5%D0%BC%D0%B0_%D0%BB%D1%91%D0%B3%D0%BA%D0%B8%D1%85" TargetMode="External"/><Relationship Id="rId12" Type="http://schemas.openxmlformats.org/officeDocument/2006/relationships/hyperlink" Target="https://ru.wikipedia.org/wiki/%D0%A0%D0%B0%D0%BA_%D0%BF%D0%BE%D0%B4%D0%B6%D0%B5%D0%BB%D1%83%D0%B4%D0%BE%D1%87%D0%BD%D0%BE%D0%B9_%D0%B6%D0%B5%D0%BB%D0%B5%D0%B7%D1%8B" TargetMode="External"/><Relationship Id="rId17" Type="http://schemas.openxmlformats.org/officeDocument/2006/relationships/hyperlink" Target="https://ru.wikipedia.org/wiki/%D0%A1%D0%B8%D0%BD%D0%B4%D1%80%D0%BE%D0%BC_%D0%B2%D0%BD%D0%B5%D0%B7%D0%B0%D0%BF%D0%BD%D0%BE%D0%B9_%D0%B4%D0%B5%D1%82%D1%81%D0%BA%D0%BE%D0%B9_%D1%81%D0%BC%D0%B5%D1%80%D1%82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1%80%D0%B5%D0%B6%D0%B4%D0%B5%D0%B2%D1%80%D0%B5%D0%BC%D0%B5%D0%BD%D0%BD%D1%8B%D0%B5_%D1%80%D0%BE%D0%B4%D1%8B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1%80%D0%BE%D0%BD%D0%B8%D1%87%D0%B5%D1%81%D0%BA%D0%B0%D1%8F_%D0%BE%D0%B1%D1%81%D1%82%D1%80%D1%83%D0%BA%D1%82%D0%B8%D0%B2%D0%BD%D0%B0%D1%8F_%D0%B1%D0%BE%D0%BB%D0%B5%D0%B7%D0%BD%D1%8C_%D0%BB%D1%91%D0%B3%D0%BA%D0%B8%D1%85" TargetMode="External"/><Relationship Id="rId11" Type="http://schemas.openxmlformats.org/officeDocument/2006/relationships/hyperlink" Target="https://ru.wikipedia.org/wiki/%D0%A0%D0%B0%D0%BA_%D0%BC%D0%BE%D1%87%D0%B5%D0%B2%D0%BE%D0%B3%D0%BE_%D0%BF%D1%83%D0%B7%D1%8B%D1%80%D1%8F" TargetMode="External"/><Relationship Id="rId5" Type="http://schemas.openxmlformats.org/officeDocument/2006/relationships/hyperlink" Target="https://ru.wikipedia.org/wiki/%D0%98%D0%BD%D1%81%D1%83%D0%BB%D1%8C%D1%82" TargetMode="External"/><Relationship Id="rId15" Type="http://schemas.openxmlformats.org/officeDocument/2006/relationships/hyperlink" Target="https://ru.wikipedia.org/wiki/%D0%9F%D0%BB%D0%BE%D0%B4_(%D0%B0%D0%BD%D0%B0%D1%82%D0%BE%D0%BC%D0%B8%D1%8F)" TargetMode="External"/><Relationship Id="rId10" Type="http://schemas.openxmlformats.org/officeDocument/2006/relationships/hyperlink" Target="https://ru.wikipedia.org/wiki/%D0%A0%D0%B0%D0%BA_%D0%B3%D0%BE%D1%80%D1%82%D0%B0%D0%BD%D0%B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98%D0%BD%D1%84%D0%B0%D1%80%D0%BA%D1%82_%D0%BC%D0%B8%D0%BE%D0%BA%D0%B0%D1%80%D0%B4%D0%B0" TargetMode="External"/><Relationship Id="rId9" Type="http://schemas.openxmlformats.org/officeDocument/2006/relationships/hyperlink" Target="https://ru.wikipedia.org/wiki/%D0%A0%D0%B0%D0%BA_%D0%BB%D0%B5%D0%B3%D0%BA%D0%B8%D1%85" TargetMode="External"/><Relationship Id="rId14" Type="http://schemas.openxmlformats.org/officeDocument/2006/relationships/hyperlink" Target="https://ru.wikipedia.org/wiki/%D0%92%D1%8B%D0%BA%D0%B8%D0%B4%D1%8B%D1%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2023-03-13T05:20:00Z</cp:lastPrinted>
  <dcterms:created xsi:type="dcterms:W3CDTF">2023-03-13T12:09:00Z</dcterms:created>
  <dcterms:modified xsi:type="dcterms:W3CDTF">2023-03-13T12:09:00Z</dcterms:modified>
</cp:coreProperties>
</file>