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E1" w:rsidRPr="00626381" w:rsidRDefault="009652E1" w:rsidP="009652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26381">
        <w:rPr>
          <w:rFonts w:ascii="Times New Roman" w:hAnsi="Times New Roman" w:cs="Times New Roman"/>
          <w:b/>
          <w:bCs/>
          <w:sz w:val="30"/>
          <w:szCs w:val="30"/>
        </w:rPr>
        <w:t>СОЦИАЛЬНАЯ БЕЗОПАСНОСТЬ</w:t>
      </w:r>
      <w:bookmarkEnd w:id="0"/>
      <w:r w:rsidRPr="0062638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По опубликованным в апреле 2023 г. данным ООН, «человечество достигло численности в 8 млрд. К 2050 году на Земле будут жить 9,7 млрд чел., а после 2070 года количество населения, скорее всего, начнет падать».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некоторым прогнозам, через 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Revive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к 2050 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626381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Уже сегодня более 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голодающих в мире увеличилось на 122 млн 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сентябре 2023 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длиться до 78 часов; при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этом работодатель получает возможность увольнять сотрудников безо всяких объяснений и обязательств); в г.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Европе выросло до рекордных значений 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удовлетворение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обеспечение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устойчивость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рынка труда, минимизация безработицы и достойный уровень оплаты труда;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развитие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интеллектуального и духовно-нравственного потенциала общества, укрепление патриотизма.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2. Республика Беларусь – демократическое социальное правовое государство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На финансирование отраслей социальной сферы ежегодно направляется около 12 % ВВП.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предусмотрены в сумме 27,7 млрд рублей. Это составляет 42 %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за январь–июнь 2023 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январе–сентябре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626381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стали 142,3 тыс. чел. на сумму 72,5 млн рублей.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II группы и неработающих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пожилых граждан). Ежегодно, начиная с 2020 года, количество получателей социальных услуг увеличивается в среднем на 4 %.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прошла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Инвалиды составляют 6 % от общей численности населения (более 0,5 млн чел.), из них почти 38 тыс. – дети-инвалиды.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 экономике Беларуси в июне 2023 г. было занято 4,148 млн 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</w:t>
      </w:r>
      <w:proofErr w:type="gram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–  79</w:t>
      </w:r>
      <w:proofErr w:type="gram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,3 тыс. чел.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 Минтруда и соцзащиты, на 1 августа 2023 г. количество вакансий, заявленных нанимателями в органы по труду, 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26381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США насчитывается около 11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здравоохранения, пенсионного, трудового, налогового и жилищного законодательства.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6. Укрепление общественного здоровья – одно из главных условий сохранения нации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насчитывается 66 диспансеров, оказывающих медицинскую помощь в амбулаторных и стационарных условиях.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развитие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высокотехнологичной медицинской помощи;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</w:t>
      </w:r>
      <w:proofErr w:type="spellEnd"/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образование;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81">
        <w:rPr>
          <w:rFonts w:ascii="Times New Roman" w:hAnsi="Times New Roman" w:cs="Times New Roman"/>
          <w:sz w:val="30"/>
          <w:szCs w:val="30"/>
        </w:rPr>
        <w:t>законодательно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закрепленный приоритет оказания медицинской помощи матерям и детям,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разноуровневая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система ее оказания.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индексе глобальной безопасности здоровья 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Global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состоянию на 1 сентября 2023 г. зарегистрировано 4 355 лекарственных препаратов (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Эноксапарин-Белмед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вакцина Гам-КОВИД-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Вак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Адалимаб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Расширение ассортимента выпускаемых отечественными производителями препаратов способствует формированию здоровой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первом полугодии 2023 г. состоялось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воспитание обеспечивают около 422 тыс. работников системы образования.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оставаясь в группе с самым высоким уровнем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626381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Crime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 по итогам 2022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 По информации МВД, в стране за 2021 – первую половину 2023 г. наблюдается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итогам первого полугодия 2023 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наркопотребителями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рядом (родственники, друзья, близкие) и ведут здоровый образ жизни.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отравления наркотиками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допущена несовершеннолетними),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Наркобизнес безлик, жесток, беспринципен и беспощаден. Единственная цель тех, кто находится по ту сторону монитора компьютера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или любого другого гаджета – это обогащение за счет судеб, жизней и здоровья молодых и наивных людей.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итогам шести месяцев 2023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еще 29 октября 2019 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регистрируемых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>. Однако, по данным МВД, в феврале–марте 2023 г., по причине так называемых «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кибербезопасности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государственного и частного секторов.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9652E1" w:rsidRPr="00626381" w:rsidRDefault="009652E1" w:rsidP="009652E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9652E1" w:rsidRDefault="009652E1" w:rsidP="009652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2567D" w:rsidRDefault="0072567D"/>
    <w:sectPr w:rsidR="0072567D" w:rsidSect="00965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E1"/>
    <w:rsid w:val="0072567D"/>
    <w:rsid w:val="009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0021-D922-48B0-BCB1-356EA46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52E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2023-10-13T05:14:00Z</dcterms:created>
  <dcterms:modified xsi:type="dcterms:W3CDTF">2023-10-13T05:15:00Z</dcterms:modified>
</cp:coreProperties>
</file>