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3C11D" w14:textId="62992575" w:rsidR="00ED7F89" w:rsidRDefault="00ED7F89" w:rsidP="00ED7F89">
      <w:pPr>
        <w:spacing w:after="0" w:line="480" w:lineRule="atLeast"/>
        <w:outlineLvl w:val="0"/>
        <w:rPr>
          <w:rFonts w:ascii="Times New Roman" w:eastAsia="Times New Roman" w:hAnsi="Times New Roman" w:cs="Times New Roman"/>
          <w:kern w:val="36"/>
          <w:sz w:val="42"/>
          <w:szCs w:val="42"/>
          <w:lang w:eastAsia="ru-RU"/>
        </w:rPr>
      </w:pPr>
      <w:r w:rsidRPr="00ED7F89">
        <w:rPr>
          <w:rFonts w:ascii="Times New Roman" w:eastAsia="Times New Roman" w:hAnsi="Times New Roman" w:cs="Times New Roman"/>
          <w:kern w:val="36"/>
          <w:sz w:val="42"/>
          <w:szCs w:val="42"/>
          <w:lang w:eastAsia="ru-RU"/>
        </w:rPr>
        <w:t>О статусе территорий радиоактивного загрязнения</w:t>
      </w:r>
    </w:p>
    <w:p w14:paraId="283EDBF6" w14:textId="77777777" w:rsidR="00E950B6" w:rsidRPr="00ED7F89" w:rsidRDefault="00E950B6" w:rsidP="00ED7F89">
      <w:pPr>
        <w:spacing w:after="0" w:line="480" w:lineRule="atLeast"/>
        <w:outlineLvl w:val="0"/>
        <w:rPr>
          <w:rFonts w:ascii="Times New Roman" w:eastAsia="Times New Roman" w:hAnsi="Times New Roman" w:cs="Times New Roman"/>
          <w:kern w:val="36"/>
          <w:sz w:val="42"/>
          <w:szCs w:val="42"/>
          <w:lang w:eastAsia="ru-RU"/>
        </w:rPr>
      </w:pPr>
      <w:bookmarkStart w:id="0" w:name="_GoBack"/>
      <w:bookmarkEnd w:id="0"/>
    </w:p>
    <w:p w14:paraId="2EECD7DD"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В результате катастрофы на Чернобыльской АЭС свыше 62 000 га земель Могилевской области загрязнены радионуклидами и непригодны для проживания, выращивания сельскохозяйственной продукции, отдыха и посещения лесов, в том числе: в Климовичском районе 689,43 га, в Костюковичском районе 7 791,15 га, в Краснопольском районе 23 462,51 га, в Славгородском районе 8 165,25 га и в Чериковском районе 11 970,66 га.</w:t>
      </w:r>
    </w:p>
    <w:p w14:paraId="4F21F826"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В соответствии с картами территорий зоны первоочередного отселения и зоны последующего отселения, с которых отселено население и на которых установлен контрольно–пропускной режим, Климовичского, Костюковичского, Краснопольского, Славгородского, Чериковского районов Могилевской области на данных территориях запрещается: </w:t>
      </w:r>
    </w:p>
    <w:p w14:paraId="6539B2DA"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проживание населения, пребывание граждан без пропуска, въезд без пропуска всех видов транспортных средств и другой техники; </w:t>
      </w:r>
    </w:p>
    <w:p w14:paraId="718F485B"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производство (заготовка) продукции, содержание радионуклидов, в которой превышает республиканские допустимые уровни; </w:t>
      </w:r>
    </w:p>
    <w:p w14:paraId="20D7D23B"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сбор дикорастущих растений (в том числе мха, лишайников и грибов) и (или) их частей (ягод, орехов, шишек, иных плодов, почек, листьев, цветов, коры, корней и др.), охота, рыболовство; </w:t>
      </w:r>
    </w:p>
    <w:p w14:paraId="12A8EEFD"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все виды водопользования, за исключением использования водных объектов для противопожарных целей, а также иное природопользование, не отвечающее требованиям норм и правил по обеспечению радиационной безопасности; </w:t>
      </w:r>
    </w:p>
    <w:p w14:paraId="75E5134F"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выполнение работ, связанных с нарушением почвенного покрова, если это может привести к переносу радионуклидов; </w:t>
      </w:r>
    </w:p>
    <w:p w14:paraId="7022AEC3"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использование территории в рекреационных целях.</w:t>
      </w:r>
    </w:p>
    <w:p w14:paraId="7D9772C9"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Допуск граждан, всех видов транспортных средств и другой техники на данные территории осуществляется на основании пропусков, выдаваемых отделом контроля за соблюдением правого режима на территориях радиоактивного загрязнения управления по преодолению последствий катастрофы на Чернобыльской АЭС и чрезвычайным ситуациям Могилевского областного исполнительного комитета (далее – отдел контроля).</w:t>
      </w:r>
    </w:p>
    <w:p w14:paraId="361B8447"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Вместе с тем, в соответствии с Положением о порядке обеспечения и отмены контрольно–пропускного режима на территориях зоны эвакуации (отчуждения), зоны первоочередного отселения и зоны последующего отселения, с которых отселено население, утвержденного постановлением Совета Министров Республики Беларусь от 3 декабря 2012 г. № 1110, въезд без пропусков на территории, на которых установлен контрольно–пропускной режим, разрешается:</w:t>
      </w:r>
    </w:p>
    <w:p w14:paraId="58AE69FD"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работникам скорой медицинской помощи, сотрудникам следственно–оперативных групп для исполнения служебных обязанностей;</w:t>
      </w:r>
    </w:p>
    <w:p w14:paraId="3624F2B7"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работникам пожарных аварийно–спасательных подразделений, аварийных служб для исполнения служебных обязанностей при возникновении чрезвычайных ситуаций;</w:t>
      </w:r>
    </w:p>
    <w:p w14:paraId="42802E39"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lastRenderedPageBreak/>
        <w:t>при подготовке и осуществлении мероприятий по обеспечению национальной безопасности;</w:t>
      </w:r>
    </w:p>
    <w:p w14:paraId="4A7A0F15"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гражданам, прибывшим для захоронения близких, при массовом посещении кладбищ в дни поминовения усопших;</w:t>
      </w:r>
    </w:p>
    <w:p w14:paraId="47A17251"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для транзитного проезда через территории зоны первоочередного отселения и зоны последующего отселения, с которых отселено население и на которых установлен контрольно–пропускной режим, по дорогам согласно перечню, утвержденному решением Могилевского облисполкома от 11 ноября 2025 г. № 47–16 «Об установлении перечня дорог».</w:t>
      </w:r>
    </w:p>
    <w:p w14:paraId="17AB7787"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Отдел контроля напоминает, что пребывание на территории радиоактивного загрязнения, с которой отселено население и на которой установлен контрольно–пропускной режим, либо осуществление на такой территории деятельности без разрешения уполномоченного органа, влечет за собой административную ответственность по статье 16.6 «Нарушение требований правового режима территории радиоактивного загрязнения» Кодекса Республики Беларусь об административных правонарушениях, предусматривающей наложение штрафа: </w:t>
      </w:r>
    </w:p>
    <w:p w14:paraId="28153150"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на граждан от 5 до 30 базовых величин; </w:t>
      </w:r>
    </w:p>
    <w:p w14:paraId="5011978A"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на индивидуального предпринимателя от 10 до 50 базовых величин; </w:t>
      </w:r>
    </w:p>
    <w:p w14:paraId="4DEF5BEE"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на юридическое лицо – до 200 базовых величин.</w:t>
      </w:r>
    </w:p>
    <w:p w14:paraId="72A68848" w14:textId="77777777"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color w:val="000000"/>
          <w:sz w:val="24"/>
          <w:szCs w:val="24"/>
          <w:lang w:eastAsia="ru-RU"/>
        </w:rPr>
        <w:t>С 1 января 2026 года базовая величина составляет 45 белорусских рублей.</w:t>
      </w:r>
    </w:p>
    <w:p w14:paraId="79C735A7" w14:textId="77777777" w:rsidR="00ED7F89" w:rsidRPr="00ED7F89" w:rsidRDefault="00ED7F89" w:rsidP="00ED7F89">
      <w:pPr>
        <w:spacing w:after="150" w:line="240" w:lineRule="auto"/>
        <w:ind w:firstLine="600"/>
        <w:rPr>
          <w:rFonts w:ascii="BYN" w:eastAsia="Times New Roman" w:hAnsi="BYN" w:cs="Times New Roman"/>
          <w:color w:val="000000"/>
          <w:sz w:val="24"/>
          <w:szCs w:val="24"/>
          <w:lang w:eastAsia="ru-RU"/>
        </w:rPr>
      </w:pPr>
      <w:hyperlink r:id="rId5" w:history="1">
        <w:r w:rsidRPr="00ED7F89">
          <w:rPr>
            <w:rFonts w:ascii="BYN" w:eastAsia="Times New Roman" w:hAnsi="BYN" w:cs="Times New Roman"/>
            <w:b/>
            <w:bCs/>
            <w:i/>
            <w:iCs/>
            <w:color w:val="337AB7"/>
            <w:sz w:val="24"/>
            <w:szCs w:val="24"/>
            <w:lang w:eastAsia="ru-RU"/>
          </w:rPr>
          <w:t>РЕШЕНИЕ МОГИЛЕВСКОГО ОБЛАСТНОГО ИСПОЛНИТЕЛЬНОГО КОМИТЕТА 11 ноября 2025 г. № 47–16 «Об установлении перечня дорог»</w:t>
        </w:r>
      </w:hyperlink>
    </w:p>
    <w:p w14:paraId="6A623F7A" w14:textId="27A42A15" w:rsidR="00ED7F89" w:rsidRPr="00ED7F89" w:rsidRDefault="00ED7F89" w:rsidP="00ED7F89">
      <w:pPr>
        <w:spacing w:after="150" w:line="240" w:lineRule="auto"/>
        <w:ind w:firstLine="600"/>
        <w:jc w:val="both"/>
        <w:rPr>
          <w:rFonts w:ascii="BYN" w:eastAsia="Times New Roman" w:hAnsi="BYN" w:cs="Times New Roman"/>
          <w:color w:val="000000"/>
          <w:sz w:val="24"/>
          <w:szCs w:val="24"/>
          <w:lang w:eastAsia="ru-RU"/>
        </w:rPr>
      </w:pPr>
      <w:r w:rsidRPr="00ED7F89">
        <w:rPr>
          <w:rFonts w:ascii="BYN" w:eastAsia="Times New Roman" w:hAnsi="BYN" w:cs="Times New Roman"/>
          <w:i/>
          <w:iCs/>
          <w:color w:val="000000"/>
          <w:sz w:val="24"/>
          <w:szCs w:val="24"/>
          <w:lang w:eastAsia="ru-RU"/>
        </w:rPr>
        <w:t xml:space="preserve">Отдел контроля за соблюдением правового режима на </w:t>
      </w:r>
      <w:r w:rsidRPr="00ED7F89">
        <w:rPr>
          <w:rFonts w:ascii="BYN" w:eastAsia="Times New Roman" w:hAnsi="BYN" w:cs="Times New Roman"/>
          <w:i/>
          <w:iCs/>
          <w:color w:val="000000"/>
          <w:sz w:val="24"/>
          <w:szCs w:val="24"/>
          <w:lang w:eastAsia="ru-RU"/>
        </w:rPr>
        <w:t>территориях радиоактивного</w:t>
      </w:r>
      <w:r w:rsidRPr="00ED7F89">
        <w:rPr>
          <w:rFonts w:ascii="BYN" w:eastAsia="Times New Roman" w:hAnsi="BYN" w:cs="Times New Roman"/>
          <w:i/>
          <w:iCs/>
          <w:color w:val="000000"/>
          <w:sz w:val="24"/>
          <w:szCs w:val="24"/>
          <w:lang w:eastAsia="ru-RU"/>
        </w:rPr>
        <w:t xml:space="preserve"> загрязнения</w:t>
      </w:r>
    </w:p>
    <w:p w14:paraId="60819E1D" w14:textId="77777777" w:rsidR="00E84B24" w:rsidRDefault="00E84B24"/>
    <w:sectPr w:rsidR="00E84B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YN">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14EAA"/>
    <w:multiLevelType w:val="multilevel"/>
    <w:tmpl w:val="37288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CB"/>
    <w:rsid w:val="009563FD"/>
    <w:rsid w:val="009A59CB"/>
    <w:rsid w:val="00E84B24"/>
    <w:rsid w:val="00E950B6"/>
    <w:rsid w:val="00ED7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9552"/>
  <w15:chartTrackingRefBased/>
  <w15:docId w15:val="{66F9FD53-E490-495F-9483-4E92D863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3561">
      <w:bodyDiv w:val="1"/>
      <w:marLeft w:val="0"/>
      <w:marRight w:val="0"/>
      <w:marTop w:val="0"/>
      <w:marBottom w:val="0"/>
      <w:divBdr>
        <w:top w:val="none" w:sz="0" w:space="0" w:color="auto"/>
        <w:left w:val="none" w:sz="0" w:space="0" w:color="auto"/>
        <w:bottom w:val="none" w:sz="0" w:space="0" w:color="auto"/>
        <w:right w:val="none" w:sz="0" w:space="0" w:color="auto"/>
      </w:divBdr>
      <w:divsChild>
        <w:div w:id="49885069">
          <w:marLeft w:val="0"/>
          <w:marRight w:val="0"/>
          <w:marTop w:val="0"/>
          <w:marBottom w:val="0"/>
          <w:divBdr>
            <w:top w:val="none" w:sz="0" w:space="0" w:color="auto"/>
            <w:left w:val="none" w:sz="0" w:space="0" w:color="auto"/>
            <w:bottom w:val="none" w:sz="0" w:space="0" w:color="auto"/>
            <w:right w:val="none" w:sz="0" w:space="0" w:color="auto"/>
          </w:divBdr>
          <w:divsChild>
            <w:div w:id="57559656">
              <w:marLeft w:val="0"/>
              <w:marRight w:val="0"/>
              <w:marTop w:val="0"/>
              <w:marBottom w:val="0"/>
              <w:divBdr>
                <w:top w:val="none" w:sz="0" w:space="0" w:color="auto"/>
                <w:left w:val="none" w:sz="0" w:space="0" w:color="auto"/>
                <w:bottom w:val="none" w:sz="0" w:space="0" w:color="auto"/>
                <w:right w:val="none" w:sz="0" w:space="0" w:color="auto"/>
              </w:divBdr>
              <w:divsChild>
                <w:div w:id="38208305">
                  <w:marLeft w:val="0"/>
                  <w:marRight w:val="0"/>
                  <w:marTop w:val="0"/>
                  <w:marBottom w:val="0"/>
                  <w:divBdr>
                    <w:top w:val="none" w:sz="0" w:space="0" w:color="auto"/>
                    <w:left w:val="none" w:sz="0" w:space="0" w:color="auto"/>
                    <w:bottom w:val="none" w:sz="0" w:space="0" w:color="auto"/>
                    <w:right w:val="none" w:sz="0" w:space="0" w:color="auto"/>
                  </w:divBdr>
                  <w:divsChild>
                    <w:div w:id="1511942847">
                      <w:marLeft w:val="0"/>
                      <w:marRight w:val="0"/>
                      <w:marTop w:val="0"/>
                      <w:marBottom w:val="0"/>
                      <w:divBdr>
                        <w:top w:val="none" w:sz="0" w:space="0" w:color="auto"/>
                        <w:left w:val="none" w:sz="0" w:space="0" w:color="auto"/>
                        <w:bottom w:val="none" w:sz="0" w:space="0" w:color="auto"/>
                        <w:right w:val="none" w:sz="0" w:space="0" w:color="auto"/>
                      </w:divBdr>
                      <w:divsChild>
                        <w:div w:id="306789206">
                          <w:marLeft w:val="0"/>
                          <w:marRight w:val="0"/>
                          <w:marTop w:val="0"/>
                          <w:marBottom w:val="0"/>
                          <w:divBdr>
                            <w:top w:val="none" w:sz="0" w:space="0" w:color="auto"/>
                            <w:left w:val="none" w:sz="0" w:space="0" w:color="auto"/>
                            <w:bottom w:val="none" w:sz="0" w:space="0" w:color="auto"/>
                            <w:right w:val="none" w:sz="0" w:space="0" w:color="auto"/>
                          </w:divBdr>
                        </w:div>
                      </w:divsChild>
                    </w:div>
                    <w:div w:id="206376047">
                      <w:marLeft w:val="0"/>
                      <w:marRight w:val="0"/>
                      <w:marTop w:val="0"/>
                      <w:marBottom w:val="0"/>
                      <w:divBdr>
                        <w:top w:val="none" w:sz="0" w:space="0" w:color="auto"/>
                        <w:left w:val="none" w:sz="0" w:space="0" w:color="auto"/>
                        <w:bottom w:val="none" w:sz="0" w:space="0" w:color="auto"/>
                        <w:right w:val="none" w:sz="0" w:space="0" w:color="auto"/>
                      </w:divBdr>
                      <w:divsChild>
                        <w:div w:id="1294359802">
                          <w:marLeft w:val="0"/>
                          <w:marRight w:val="0"/>
                          <w:marTop w:val="0"/>
                          <w:marBottom w:val="0"/>
                          <w:divBdr>
                            <w:top w:val="none" w:sz="0" w:space="0" w:color="auto"/>
                            <w:left w:val="none" w:sz="0" w:space="0" w:color="auto"/>
                            <w:bottom w:val="none" w:sz="0" w:space="0" w:color="auto"/>
                            <w:right w:val="none" w:sz="0" w:space="0" w:color="auto"/>
                          </w:divBdr>
                          <w:divsChild>
                            <w:div w:id="102251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4543421">
          <w:marLeft w:val="0"/>
          <w:marRight w:val="0"/>
          <w:marTop w:val="0"/>
          <w:marBottom w:val="0"/>
          <w:divBdr>
            <w:top w:val="none" w:sz="0" w:space="0" w:color="auto"/>
            <w:left w:val="none" w:sz="0" w:space="0" w:color="auto"/>
            <w:bottom w:val="none" w:sz="0" w:space="0" w:color="auto"/>
            <w:right w:val="none" w:sz="0" w:space="0" w:color="auto"/>
          </w:divBdr>
          <w:divsChild>
            <w:div w:id="858280220">
              <w:marLeft w:val="0"/>
              <w:marRight w:val="0"/>
              <w:marTop w:val="0"/>
              <w:marBottom w:val="0"/>
              <w:divBdr>
                <w:top w:val="none" w:sz="0" w:space="0" w:color="auto"/>
                <w:left w:val="none" w:sz="0" w:space="0" w:color="auto"/>
                <w:bottom w:val="none" w:sz="0" w:space="0" w:color="auto"/>
                <w:right w:val="none" w:sz="0" w:space="0" w:color="auto"/>
              </w:divBdr>
              <w:divsChild>
                <w:div w:id="1619337380">
                  <w:marLeft w:val="0"/>
                  <w:marRight w:val="0"/>
                  <w:marTop w:val="0"/>
                  <w:marBottom w:val="0"/>
                  <w:divBdr>
                    <w:top w:val="none" w:sz="0" w:space="0" w:color="auto"/>
                    <w:left w:val="none" w:sz="0" w:space="0" w:color="auto"/>
                    <w:bottom w:val="none" w:sz="0" w:space="0" w:color="auto"/>
                    <w:right w:val="none" w:sz="0" w:space="0" w:color="auto"/>
                  </w:divBdr>
                  <w:divsChild>
                    <w:div w:id="1399088511">
                      <w:marLeft w:val="0"/>
                      <w:marRight w:val="0"/>
                      <w:marTop w:val="0"/>
                      <w:marBottom w:val="0"/>
                      <w:divBdr>
                        <w:top w:val="none" w:sz="0" w:space="0" w:color="auto"/>
                        <w:left w:val="none" w:sz="0" w:space="0" w:color="auto"/>
                        <w:bottom w:val="none" w:sz="0" w:space="0" w:color="auto"/>
                        <w:right w:val="none" w:sz="0" w:space="0" w:color="auto"/>
                      </w:divBdr>
                      <w:divsChild>
                        <w:div w:id="1992520537">
                          <w:marLeft w:val="0"/>
                          <w:marRight w:val="0"/>
                          <w:marTop w:val="0"/>
                          <w:marBottom w:val="0"/>
                          <w:divBdr>
                            <w:top w:val="none" w:sz="0" w:space="0" w:color="auto"/>
                            <w:left w:val="none" w:sz="0" w:space="0" w:color="auto"/>
                            <w:bottom w:val="none" w:sz="0" w:space="0" w:color="auto"/>
                            <w:right w:val="none" w:sz="0" w:space="0" w:color="auto"/>
                          </w:divBdr>
                          <w:divsChild>
                            <w:div w:id="91709533">
                              <w:marLeft w:val="0"/>
                              <w:marRight w:val="0"/>
                              <w:marTop w:val="0"/>
                              <w:marBottom w:val="0"/>
                              <w:divBdr>
                                <w:top w:val="none" w:sz="0" w:space="0" w:color="auto"/>
                                <w:left w:val="none" w:sz="0" w:space="0" w:color="auto"/>
                                <w:bottom w:val="none" w:sz="0" w:space="0" w:color="auto"/>
                                <w:right w:val="none" w:sz="0" w:space="0" w:color="auto"/>
                              </w:divBdr>
                              <w:divsChild>
                                <w:div w:id="1002390675">
                                  <w:marLeft w:val="0"/>
                                  <w:marRight w:val="0"/>
                                  <w:marTop w:val="0"/>
                                  <w:marBottom w:val="225"/>
                                  <w:divBdr>
                                    <w:top w:val="none" w:sz="0" w:space="0" w:color="auto"/>
                                    <w:left w:val="none" w:sz="0" w:space="0" w:color="auto"/>
                                    <w:bottom w:val="none" w:sz="0" w:space="0" w:color="auto"/>
                                    <w:right w:val="none" w:sz="0" w:space="0" w:color="auto"/>
                                  </w:divBdr>
                                </w:div>
                                <w:div w:id="1031809010">
                                  <w:marLeft w:val="0"/>
                                  <w:marRight w:val="0"/>
                                  <w:marTop w:val="0"/>
                                  <w:marBottom w:val="0"/>
                                  <w:divBdr>
                                    <w:top w:val="none" w:sz="0" w:space="0" w:color="auto"/>
                                    <w:left w:val="none" w:sz="0" w:space="0" w:color="auto"/>
                                    <w:bottom w:val="none" w:sz="0" w:space="0" w:color="auto"/>
                                    <w:right w:val="none" w:sz="0" w:space="0" w:color="auto"/>
                                  </w:divBdr>
                                  <w:divsChild>
                                    <w:div w:id="151953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ogilev-region.gov.by/sites/default/files/3-1-10_220-%D0%A3%D0%A7%D0%90%D0%AD%D0%A1%D0%B8%D0%A7%D0%A1_10032026_2.1.%20%D0%A0%D0%B5%D1%88%D0%B5%D0%BD%D0%B8%D0%B5%20%D0%BE%D0%B1%20%D1%83%D1%81%D1%82%D0%B0%D0%BD%D0%BE%D0%B2%D0%BB%D0%B5%D0%BD%D0%B8%D0%B8%20%D0%BF%D0%B5%D1%80%D0%B5%D1%87%D0%BD%D1%8F%20%D0%B4%D0%BE%D1%80%D0%BE%D0%B3%2047-16.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2026-03-11T08:50:00Z</dcterms:created>
  <dcterms:modified xsi:type="dcterms:W3CDTF">2026-03-11T08:52:00Z</dcterms:modified>
</cp:coreProperties>
</file>