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7" w:rsidRPr="00AF3587" w:rsidRDefault="00AF3587" w:rsidP="00AF3587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</w:pPr>
      <w:bookmarkStart w:id="0" w:name="a4"/>
      <w:bookmarkEnd w:id="0"/>
      <w:r w:rsidRPr="00AF3587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t>ДОПОЛНИТЕЛЬНЫЕ МЕРЫ СОЦИАЛЬНОЙ ПОДДЕРЖКИ ОТДЕЛЬНЫХ СОЦИАЛЬНО УЯЗВИМЫХ КАТЕГОРИЙ ГРАЖДАН.</w:t>
      </w:r>
      <w:r w:rsidRPr="00AF3587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br/>
        <w:t>Комментарий к </w:t>
      </w:r>
      <w:hyperlink r:id="rId5" w:anchor="a11" w:tooltip="+" w:history="1">
        <w:r w:rsidRPr="00AF358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Указу</w:t>
        </w:r>
      </w:hyperlink>
      <w:r w:rsidRPr="00AF3587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</w:rPr>
        <w:t xml:space="preserve"> Президента Республики Беларусь от 18.05.2020 № 171</w:t>
      </w:r>
    </w:p>
    <w:p w:rsidR="00AF3587" w:rsidRPr="00AF3587" w:rsidRDefault="002814B1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11" w:tooltip="+" w:history="1">
        <w:r w:rsidR="00AF3587"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F3587" w:rsidRPr="00AF3587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Республики Беларусь от 18.05.2020 № 171 «О социальной поддержке отдельных категорий граждан» (далее - Указ) предусматривает предоставление дополнительных пенсионных гарантий, одной бесплатной попытки экстракорпорального оплодотворения для супружеских пар, увеличение для многодетных семей периода предоставления государственной адресной социальной помощи (далее - адресная помощь) в виде ежемесячного социального пособия с увеличением критерия нуждаемости.</w:t>
      </w:r>
    </w:p>
    <w:p w:rsidR="00AF3587" w:rsidRPr="00AF3587" w:rsidRDefault="00AF3587" w:rsidP="00AF3587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a1"/>
      <w:bookmarkEnd w:id="1"/>
      <w:r w:rsidRPr="00AF358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пенсионные гарантии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3803"/>
        <w:gridCol w:w="3919"/>
      </w:tblGrid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F3587" w:rsidRPr="00AF3587" w:rsidRDefault="00AF3587" w:rsidP="00A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</w:t>
            </w:r>
            <w:hyperlink r:id="rId7" w:anchor="a8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п.1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F3587" w:rsidRPr="00AF3587" w:rsidRDefault="00AF3587" w:rsidP="00A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Что предусматривает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F3587" w:rsidRPr="00AF3587" w:rsidRDefault="00AF3587" w:rsidP="00A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a3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Увеличена длительность периодов отпуска по уходу за ребенком и ухода за детьми до достижения ими возраста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лет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включаемых в общий стаж и учитываемых при исчислении пенсии,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 9 до 12 лет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3587" w:rsidRPr="00AF3587" w:rsidRDefault="00AF3587" w:rsidP="00AF358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F358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Справочно</w:t>
            </w:r>
            <w:proofErr w:type="spellEnd"/>
          </w:p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</w:rPr>
              <w:t>В соответствии с </w:t>
            </w:r>
            <w:proofErr w:type="spellStart"/>
            <w:r w:rsidR="002814B1">
              <w:fldChar w:fldCharType="begin"/>
            </w:r>
            <w:r w:rsidR="002814B1">
              <w:instrText xml:space="preserve"> HYPERLINK "http://bii.by/tx.dll?d=34258&amp;a=1316" \l "a1316" \o "+" </w:instrText>
            </w:r>
            <w:r w:rsidR="002814B1">
              <w:fldChar w:fldCharType="separate"/>
            </w:r>
            <w:r w:rsidRPr="00AF358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п</w:t>
            </w:r>
            <w:proofErr w:type="gramStart"/>
            <w:r w:rsidRPr="00AF358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.«</w:t>
            </w:r>
            <w:proofErr w:type="gramEnd"/>
            <w:r w:rsidRPr="00AF358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в</w:t>
            </w:r>
            <w:proofErr w:type="spellEnd"/>
            <w:r w:rsidRPr="00AF358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»</w:t>
            </w:r>
            <w:r w:rsidR="002814B1"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  <w:r w:rsidRPr="00AF3587">
              <w:rPr>
                <w:rFonts w:ascii="Times New Roman" w:eastAsia="Times New Roman" w:hAnsi="Times New Roman" w:cs="Times New Roman"/>
              </w:rPr>
              <w:t xml:space="preserve"> части второй ст.51 Закона Республики Беларусь от 17.04.1992 № 1596-XII «О пенсионном обеспечении» (далее - Закон) периоды нахождения в социальном отпуске по уходу за ребенком или периоды ухода неработающей матери за детьми в возрасте до 3 лет включаются в общий стаж не более 9 лет в общей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 повышения ценности общественно-полезного труда по воспитанию детей увеличена длительность периодов отпуска по уходу за ребенком и ухода за детьми до достижения ими возраста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лет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включаемых в общий стаж и учитываемых при исчислении пенсии,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 9 до 12 лет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Реализация этой меры позволит увеличить общий стаж и, соответственно, размер пенсии женщинам, имеющим четверых и более детей. Норма распространяется также на женщин, уже вышедших на пенсию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 </w:t>
            </w:r>
            <w:hyperlink r:id="rId9" w:anchor="a13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1.2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a14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1.4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, 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Снижены для отдельных категорий граждан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 стажу для назначения трудовой пенсии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 до 10 лет стаж работы с уплатой обязательных страховых взносов в бюджет государственного внебюджетного фонда социальной защиты населения Республики Беларусь (далее - страховой стаж) для матерей четверых детей.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2020 году матерям, родившим четверых детей, право на трудовую пенсию по возрасту предоставляется при наличии страхового стажа не менее 17 лет 6 месяцев (</w:t>
            </w:r>
            <w:hyperlink r:id="rId11" w:anchor="a1656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ст.5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Закона) и общего стажа не менее 20 лет (</w:t>
            </w:r>
            <w:hyperlink r:id="rId12" w:anchor="a1658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ст.11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Закона).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anchor="a1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предоставлено матерям, родившим четверых детей, право на трудовую пенсию по возрасту при наличии страхового стажа не менее 10 лет и общего стажа не менее 20 лет.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Льгота (понижение требуемого страхового стажа до 10 лет) введена с учетом того, что при рождении и воспитании четверых детей у женщины меньше возможностей отработать длительный период с уплатой взносов.</w:t>
            </w:r>
          </w:p>
          <w:p w:rsidR="00AF3587" w:rsidRPr="00AF3587" w:rsidRDefault="00AF3587" w:rsidP="00AF358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F358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Справочно</w:t>
            </w:r>
            <w:proofErr w:type="spellEnd"/>
          </w:p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</w:rPr>
              <w:t xml:space="preserve">Для назначения пенсии по возрасту </w:t>
            </w:r>
            <w:proofErr w:type="gramStart"/>
            <w:r w:rsidRPr="00AF3587">
              <w:rPr>
                <w:rFonts w:ascii="Times New Roman" w:eastAsia="Times New Roman" w:hAnsi="Times New Roman" w:cs="Times New Roman"/>
              </w:rPr>
              <w:t>женщине, родившей и воспитавшей до восьмилетнего возраста пять</w:t>
            </w:r>
            <w:proofErr w:type="gramEnd"/>
            <w:r w:rsidRPr="00AF3587">
              <w:rPr>
                <w:rFonts w:ascii="Times New Roman" w:eastAsia="Times New Roman" w:hAnsi="Times New Roman" w:cs="Times New Roman"/>
              </w:rPr>
              <w:t xml:space="preserve"> и более детей, требуется 5 лет стажа работы с уплатой взносов 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a12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 перечень граждан, которым может назначаться пенсия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 случаю потери кормильца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период осуществления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ухода за детьми до достижения ими трехлетнего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 основании </w:t>
            </w:r>
            <w:hyperlink r:id="rId15" w:anchor="a1465" w:tooltip="+" w:history="1">
              <w:proofErr w:type="spellStart"/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</w:t>
              </w:r>
              <w:proofErr w:type="gramStart"/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.«</w:t>
              </w:r>
              <w:proofErr w:type="gramEnd"/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spellEnd"/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третьей ст.35 Закона право на пенсию по случаю потери кормильца предоставляется члену семьи,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который осуществляет уход за ребенком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(братом, сестрой, внуком) умершего кормильца и не работает. Для граждан, которые имеют правовой статус работника, индивидуального предпринимателя, нотариуса, адвоката, </w:t>
            </w:r>
            <w:proofErr w:type="spellStart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однако приостановили свою деятельность и осуществляют уход за ребенком в возрасте до 3 лет, право на пенсию по случаю потери кормильца не предусмотрено. То есть право на пенсию увязано со статусом лица, которое осуществляет уход за ребенком, а не самим фактом ухода за ним</w:t>
            </w:r>
            <w:proofErr w:type="gramStart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anchor="a1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 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пенсию по случаю потери кормильца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предусмотрено для 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которым по месту работы предоставлен отпуск по уходу за ребенком до достижения им возраста 3 лет или которыми в установленном законодательством порядке приостановлена предпринимательская, адвокатская, 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нотариальная или иная деятельность на период осуществления ухода за ребенком до достижения им трехлетнего возраста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14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 страховой стаж, требуемый для назначения трудовой пенсии по возрасту на общих основаниях, для граждан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 длительной инвалидностью I или II 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В настоящее время постепенно увеличивается длительность страхового стажа для назначения пенсии по возрасту до 20 лет (к 2025 году).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практике имеют место случаи (хоть и единичные), когда лицо после длительной инвалидности I или II группы восстанавливает трудоспособность и уже не является инвалидом либо является инвалидом III группы. Однако в связи с длительным нахождением на инвалидности оно не успевает сформировать страховой стаж, требуемый для назначения пенсии по возрасту.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Для граждан, являвшихся инвалидами I или II группы более 10 лет, страховой стаж пропорционально времени нахождения на инвалидности снижается на 6 месяцев за каждый полный год нахождения на инвалидности, а для граждан, которые до достижения общеустановленного пенсионного возраста являлись инвалидами I и (или) II группы не менее 21 года, требуется до 5 лет страхового стажа.</w:t>
            </w:r>
            <w:proofErr w:type="gramEnd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</w:t>
            </w:r>
            <w:hyperlink r:id="rId18" w:anchor="a1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Указе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закрепляется подход «чем длительнее инвалидность, тем меньше страховой стаж».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Еще одно условие назначения пенсии по возрасту -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общего стажа работы: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женщин - 20 лет, для мужчин - 25 лет.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учетом снижения требований к страховому стажу для лиц, длительное время находившихся на инвалидности, снижены требования к общему стажу для трудовой пенсии по возрасту: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 женщин - до 15 лет;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 мужчин - до 20 лет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a16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 общий стаж для трудовой пенсии по возрасту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 инвалидов с детства I или II 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инвалидам с детства назначается мужчинам при стаже работы не менее 25 лет, женщинам - не менее 20 лет, из которых страховой стаж составляет только 5 лет (ст.</w:t>
            </w:r>
            <w:hyperlink r:id="rId20" w:anchor="a1656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hyperlink r:id="rId21" w:anchor="a119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Закона).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учетом снижения общего стажа для инвалидов I и II групп (</w:t>
            </w:r>
            <w:hyperlink r:id="rId22" w:anchor="a14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подп.1.4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Указа) снижены также требования к общему стажу для назначения пенсии по возрасту согласно </w:t>
            </w:r>
            <w:hyperlink r:id="rId23" w:anchor="a119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ст.22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Закона: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 женщин - до 15 лет;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для мужчин - до 20 лет</w:t>
            </w: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a6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новое основание для назначения трудовой пенсии по возрасту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 неполном страховом стаже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При отсутствии требуемого страхового стажа для назначения пенсии по возрасту назначается социальная пенсия (65 лет - мужчины, 60 лет - женщины). Размер этой пенсии для лиц, у которых страховой стаж менее 10 лет, и для лиц, у которых стаж больше 10 лет, но меньше требуемого, размер пенсии одинаковый - 50 % бюджета прожиточного минимума в среднем на душу населения.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anchor="a11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предусматривает возможность назначать работникам с неполным страховым стажем (свыше 10 лет, но менее </w:t>
            </w:r>
            <w:proofErr w:type="gramStart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>) вместо социальной пенсии трудовую пенсию по возрасту при неполном страховом стаже. При этом назначается она женщинам по достижении возраста 60 лет, мужчинам - 65 лет, как это предусмотрено для социальной пенсии.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 исчисления размера трудовой пенсии при неполном страховом стаже берется БПМ пенсионера, то есть бюджет той социально-демографической группы, в которую входят получатели этой пенсии.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пенсии по возрасту при 10-летнем страховом стаже устанавливается в размере 73 % БПМ пенсионера с повышением на 3 % БПМ пенсионера за каждый 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дополнительный год страхового стажа.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 19 годах страхового стажа размер пенсии составит 100 % БПМ пенсионера - 184,2 руб.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 таком подходе сохраняется обоснованная разница в размерах пенсии по возрасту при неполном стаже и минимальной пенсии по возрасту при полном страховом стаже (245,1 руб.)</w:t>
            </w:r>
          </w:p>
        </w:tc>
      </w:tr>
      <w:tr w:rsidR="00AF3587" w:rsidRPr="00AF3587" w:rsidTr="00AF358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tbl>
            <w:tblPr>
              <w:tblW w:w="4950" w:type="pct"/>
              <w:jc w:val="center"/>
              <w:tblLook w:val="04A0" w:firstRow="1" w:lastRow="0" w:firstColumn="1" w:lastColumn="0" w:noHBand="0" w:noVBand="1"/>
            </w:tblPr>
            <w:tblGrid>
              <w:gridCol w:w="1386"/>
              <w:gridCol w:w="3604"/>
              <w:gridCol w:w="2126"/>
              <w:gridCol w:w="2126"/>
            </w:tblGrid>
            <w:tr w:rsidR="00AF3587" w:rsidRPr="00AF3587">
              <w:trPr>
                <w:jc w:val="center"/>
              </w:trPr>
              <w:tc>
                <w:tcPr>
                  <w:tcW w:w="75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Страховой стаж, лет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Действующее законодательство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2814B1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anchor="a11" w:tooltip="+" w:history="1">
                    <w:r w:rsidR="00AF3587" w:rsidRPr="00AF35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Указ</w:t>
                    </w:r>
                  </w:hyperlink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F3587" w:rsidRPr="00AF3587" w:rsidRDefault="00AF3587" w:rsidP="00A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социальной пенсии (50 % БПМ),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трудовой пенсии (БПМ пенсионера)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F3587" w:rsidRPr="00AF3587" w:rsidRDefault="00AF3587" w:rsidP="00A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F3587" w:rsidRPr="00AF3587" w:rsidRDefault="00AF3587" w:rsidP="00AF3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8E8E8"/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134,5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140,0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145,5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151,0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156,6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162,1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167,6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173,2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178,7</w:t>
                  </w:r>
                </w:p>
              </w:tc>
            </w:tr>
            <w:tr w:rsidR="00AF3587" w:rsidRPr="00AF358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F3587" w:rsidRPr="00AF3587" w:rsidRDefault="00AF3587" w:rsidP="00AF35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35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184,2</w:t>
                  </w:r>
                </w:p>
              </w:tc>
            </w:tr>
          </w:tbl>
          <w:p w:rsidR="00AF3587" w:rsidRPr="00AF3587" w:rsidRDefault="00AF3587" w:rsidP="00AF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587" w:rsidRPr="00AF3587" w:rsidTr="00AF35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2814B1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a15" w:tooltip="+" w:history="1">
              <w:r w:rsidR="00AF3587"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 1.7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 размер </w:t>
            </w:r>
            <w:r w:rsidRPr="00AF3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социальной пенсии матерям и (или) отцам детей-инвалидов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возрасте до 18 лет, имевших третью и (или) четвертую степень утраты здоровья, признанных впоследствии инвалидами с детства I группы, осуществлявшим уход за этими детьми не менее 20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3587" w:rsidRPr="00AF3587" w:rsidRDefault="00AF3587" w:rsidP="00A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социальной пенсии для родителей детей-инвалидов обусловлено тем, что согласно </w:t>
            </w:r>
            <w:hyperlink r:id="rId28" w:anchor="a1189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ст.20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право на пенсию по возрасту матерям (отцам) детей-инвалидов (инвалидов с детства) предоставляется при наличии страхового стажа только 5 лет (при выполнении других необходимых условий). Вместе с тем не всегда родители в силу необходимости осуществлять длительный уход за детьми-инвалидами имеют возможность выработать даже такой непродолжительный страховой стаж. В такой ситуации им назначается социальная пенсия в размере 119,9 руб. (50 % БПМ в среднем на душу населения). В таком же размере пенсия назначается лицам, которые никогда не работали по собственному выбору или работали неофициально.</w:t>
            </w:r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anchor="a11" w:tooltip="+" w:history="1">
              <w:proofErr w:type="gramStart"/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 размер социальной пенсии, предусмотренной </w:t>
            </w:r>
            <w:hyperlink r:id="rId30" w:anchor="a1693" w:tooltip="+" w:history="1">
              <w:r w:rsidRPr="00AF35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абзацем 3</w:t>
              </w:r>
            </w:hyperlink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первой ст.72 Закона, для матерей (отцов) детей-инвалидов (инвалидов с детства) с III или IV степенью утраты здоровья, признанных впоследствии инвалидами с детства I группы, при осуществлении ухода за ними не менее 20 лет до 130 % БПМ пенсионера - 239,5 руб. Это позволит повысить размер социальной пенсии до сопоставимого с размерами минимальной</w:t>
            </w:r>
            <w:proofErr w:type="gramEnd"/>
            <w:r w:rsidRPr="00AF3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пенсии по возрасту (245,1 руб.) и пособия по уходу за инвалидом I группы (239,9 руб.)</w:t>
            </w:r>
          </w:p>
        </w:tc>
      </w:tr>
    </w:tbl>
    <w:p w:rsidR="00AF3587" w:rsidRPr="00AF3587" w:rsidRDefault="00AF3587" w:rsidP="00AF3587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a2"/>
      <w:bookmarkEnd w:id="2"/>
      <w:r w:rsidRPr="00AF35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Экстракорпоральное оплодотворение (ЭКО)</w:t>
      </w:r>
    </w:p>
    <w:p w:rsidR="00AF3587" w:rsidRPr="00AF3587" w:rsidRDefault="002814B1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a11" w:tooltip="+" w:history="1">
        <w:r w:rsidR="00AF3587"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="00AF3587" w:rsidRPr="00AF358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предоставление супружеским парам бесплатно одной попытки экстракорпорального оплодотворения (ЭКО) (за исключением процедуры ЭКО с использованием донорских половых клеток) при соблюдении следующих условий:</w:t>
      </w:r>
    </w:p>
    <w:p w:rsidR="00AF3587" w:rsidRPr="00AF3587" w:rsidRDefault="00AF3587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87">
        <w:rPr>
          <w:rFonts w:ascii="Times New Roman" w:eastAsia="Times New Roman" w:hAnsi="Times New Roman" w:cs="Times New Roman"/>
          <w:sz w:val="24"/>
          <w:szCs w:val="24"/>
        </w:rPr>
        <w:t>• пара должна быть супружеской, в которой оба супруга - граждане Республики Беларусь и при этом возраст женщины не превышает 40 лет;</w:t>
      </w:r>
    </w:p>
    <w:p w:rsidR="00AF3587" w:rsidRPr="00AF3587" w:rsidRDefault="00AF3587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87">
        <w:rPr>
          <w:rFonts w:ascii="Times New Roman" w:eastAsia="Times New Roman" w:hAnsi="Times New Roman" w:cs="Times New Roman"/>
          <w:sz w:val="24"/>
          <w:szCs w:val="24"/>
        </w:rPr>
        <w:t>• медицинские показания, определенные Министерством здравоохранения Республики Беларусь (</w:t>
      </w:r>
      <w:hyperlink r:id="rId32" w:anchor="a7" w:tooltip="+" w:history="1">
        <w:r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подп.1.8</w:t>
        </w:r>
      </w:hyperlink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п.1 Указа).</w:t>
      </w:r>
    </w:p>
    <w:p w:rsidR="00AF3587" w:rsidRPr="00AF3587" w:rsidRDefault="00AF3587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87">
        <w:rPr>
          <w:rFonts w:ascii="Times New Roman" w:eastAsia="Times New Roman" w:hAnsi="Times New Roman" w:cs="Times New Roman"/>
          <w:sz w:val="24"/>
          <w:szCs w:val="24"/>
        </w:rPr>
        <w:t>Право на получение бюджетного финансирования одной попытки ЭКО может быть реализовано в государственных организациях здравоохранения в порядке и на условиях, определяемых Советом Министров Республики Беларусь (</w:t>
      </w:r>
      <w:hyperlink r:id="rId33" w:anchor="a17" w:tooltip="+" w:history="1">
        <w:r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вторая</w:t>
        </w:r>
      </w:hyperlink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подп.1.8 п.1 Указа).</w:t>
      </w:r>
    </w:p>
    <w:p w:rsidR="00AF3587" w:rsidRPr="00AF3587" w:rsidRDefault="00AF3587" w:rsidP="00AF3587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a3"/>
      <w:bookmarkEnd w:id="3"/>
      <w:r w:rsidRPr="00AF3587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 многодетным семьям</w:t>
      </w:r>
    </w:p>
    <w:p w:rsidR="002814B1" w:rsidRDefault="00AF3587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В связи с внесением </w:t>
      </w:r>
      <w:hyperlink r:id="rId34" w:anchor="a11" w:tooltip="+" w:history="1">
        <w:r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</w:t>
        </w:r>
      </w:hyperlink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hyperlink r:id="rId35" w:anchor="a120" w:tooltip="+" w:history="1">
        <w:r w:rsidRPr="00AF35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первую</w:t>
        </w:r>
      </w:hyperlink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подп.2.1 п.2 Указа Президента Республики Беларусь от 19.01.2012 № 41 «О государственной адресной социальной помощи» с 1 сентября 2020 г. многодетным семьям </w:t>
      </w:r>
      <w:r w:rsidRPr="00AF3587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увеличен период</w:t>
      </w:r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адресной помощи в виде ежемесячного социального пособия </w:t>
      </w:r>
      <w:r w:rsidRPr="00AF3587">
        <w:rPr>
          <w:rFonts w:ascii="Times New Roman" w:eastAsia="Times New Roman" w:hAnsi="Times New Roman" w:cs="Times New Roman"/>
          <w:b/>
          <w:bCs/>
          <w:sz w:val="24"/>
          <w:szCs w:val="24"/>
        </w:rPr>
        <w:t>до 12 месяцев</w:t>
      </w:r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(сейчас - до 6 месяцев), а также критерий нуждаемости с 100 до 115 % БПМ в среднем</w:t>
      </w:r>
      <w:proofErr w:type="gramEnd"/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на душу населени</w:t>
      </w:r>
      <w:r w:rsidR="002814B1">
        <w:rPr>
          <w:rFonts w:ascii="Times New Roman" w:eastAsia="Times New Roman" w:hAnsi="Times New Roman" w:cs="Times New Roman"/>
          <w:sz w:val="24"/>
          <w:szCs w:val="24"/>
        </w:rPr>
        <w:t>я для назначения такого пособия.</w:t>
      </w:r>
    </w:p>
    <w:p w:rsidR="00AF3587" w:rsidRPr="00AF3587" w:rsidRDefault="00AF3587" w:rsidP="00AF358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В системе адресной помощи малообеспеченным семьям и гражданам предоставляется ежемесячное социальное пособие, которое составляет положительную разность между критерием нуждаемости (100 % БПМ в среднем на душу населения) и среднедушевым доходом семьи (гражданина). Такое пособие </w:t>
      </w:r>
      <w:proofErr w:type="gramStart"/>
      <w:r w:rsidRPr="00AF3587">
        <w:rPr>
          <w:rFonts w:ascii="Times New Roman" w:eastAsia="Times New Roman" w:hAnsi="Times New Roman" w:cs="Times New Roman"/>
          <w:sz w:val="24"/>
          <w:szCs w:val="24"/>
        </w:rPr>
        <w:t>назначается на период от 1 до 6 месяцев в течение 12 месяцев начиная</w:t>
      </w:r>
      <w:proofErr w:type="gramEnd"/>
      <w:r w:rsidRPr="00AF3587">
        <w:rPr>
          <w:rFonts w:ascii="Times New Roman" w:eastAsia="Times New Roman" w:hAnsi="Times New Roman" w:cs="Times New Roman"/>
          <w:sz w:val="24"/>
          <w:szCs w:val="24"/>
        </w:rPr>
        <w:t xml:space="preserve"> с месяца обращения за таким пособием.</w:t>
      </w:r>
    </w:p>
    <w:p w:rsidR="00A77231" w:rsidRDefault="00AF3587" w:rsidP="002814B1">
      <w:pPr>
        <w:spacing w:after="160" w:line="240" w:lineRule="auto"/>
        <w:ind w:firstLine="567"/>
        <w:jc w:val="both"/>
      </w:pPr>
      <w:r w:rsidRPr="00AF358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_GoBack"/>
      <w:bookmarkEnd w:id="4"/>
    </w:p>
    <w:sectPr w:rsidR="00A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7"/>
    <w:rsid w:val="002814B1"/>
    <w:rsid w:val="00A77231"/>
    <w:rsid w:val="00A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87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587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87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3587"/>
    <w:rPr>
      <w:color w:val="0000FF"/>
      <w:u w:val="single"/>
    </w:rPr>
  </w:style>
  <w:style w:type="paragraph" w:customStyle="1" w:styleId="margt">
    <w:name w:val="marg_t"/>
    <w:basedOn w:val="a"/>
    <w:rsid w:val="00AF3587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AF358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AF3587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AF3587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AF3587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87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587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87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35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3587"/>
    <w:rPr>
      <w:color w:val="0000FF"/>
      <w:u w:val="single"/>
    </w:rPr>
  </w:style>
  <w:style w:type="paragraph" w:customStyle="1" w:styleId="margt">
    <w:name w:val="marg_t"/>
    <w:basedOn w:val="a"/>
    <w:rsid w:val="00AF3587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AF358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AF3587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AF3587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AF3587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30138&amp;a=3" TargetMode="External"/><Relationship Id="rId13" Type="http://schemas.openxmlformats.org/officeDocument/2006/relationships/hyperlink" Target="http://bii.by/tx.dll?d=430138&amp;a=11" TargetMode="External"/><Relationship Id="rId18" Type="http://schemas.openxmlformats.org/officeDocument/2006/relationships/hyperlink" Target="http://bii.by/tx.dll?d=430138&amp;a=11" TargetMode="External"/><Relationship Id="rId26" Type="http://schemas.openxmlformats.org/officeDocument/2006/relationships/hyperlink" Target="http://bii.by/tx.dll?d=430138&amp;a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i.by/tx.dll?d=34258&amp;a=1191" TargetMode="External"/><Relationship Id="rId34" Type="http://schemas.openxmlformats.org/officeDocument/2006/relationships/hyperlink" Target="http://bii.by/tx.dll?d=430138&amp;a=11" TargetMode="External"/><Relationship Id="rId7" Type="http://schemas.openxmlformats.org/officeDocument/2006/relationships/hyperlink" Target="http://bii.by/tx.dll?d=430138&amp;a=8" TargetMode="External"/><Relationship Id="rId12" Type="http://schemas.openxmlformats.org/officeDocument/2006/relationships/hyperlink" Target="http://bii.by/tx.dll?d=34258&amp;a=1658" TargetMode="External"/><Relationship Id="rId17" Type="http://schemas.openxmlformats.org/officeDocument/2006/relationships/hyperlink" Target="http://bii.by/tx.dll?d=430138&amp;a=14" TargetMode="External"/><Relationship Id="rId25" Type="http://schemas.openxmlformats.org/officeDocument/2006/relationships/hyperlink" Target="http://bii.by/tx.dll?d=430138&amp;a=11" TargetMode="External"/><Relationship Id="rId33" Type="http://schemas.openxmlformats.org/officeDocument/2006/relationships/hyperlink" Target="http://bii.by/tx.dll?d=430138&amp;a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i.by/tx.dll?d=430138&amp;a=11" TargetMode="External"/><Relationship Id="rId20" Type="http://schemas.openxmlformats.org/officeDocument/2006/relationships/hyperlink" Target="http://bii.by/tx.dll?d=34258&amp;a=1656" TargetMode="External"/><Relationship Id="rId29" Type="http://schemas.openxmlformats.org/officeDocument/2006/relationships/hyperlink" Target="http://bii.by/tx.dll?d=430138&amp;a=11" TargetMode="External"/><Relationship Id="rId1" Type="http://schemas.openxmlformats.org/officeDocument/2006/relationships/styles" Target="styles.xml"/><Relationship Id="rId6" Type="http://schemas.openxmlformats.org/officeDocument/2006/relationships/hyperlink" Target="http://bii.by/tx.dll?d=430138&amp;a=11" TargetMode="External"/><Relationship Id="rId11" Type="http://schemas.openxmlformats.org/officeDocument/2006/relationships/hyperlink" Target="http://bii.by/tx.dll?d=34258&amp;a=1656" TargetMode="External"/><Relationship Id="rId24" Type="http://schemas.openxmlformats.org/officeDocument/2006/relationships/hyperlink" Target="http://bii.by/tx.dll?d=430138&amp;a=6" TargetMode="External"/><Relationship Id="rId32" Type="http://schemas.openxmlformats.org/officeDocument/2006/relationships/hyperlink" Target="http://bii.by/tx.dll?d=430138&amp;a=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i.by/tx.dll?d=430138&amp;a=11" TargetMode="External"/><Relationship Id="rId15" Type="http://schemas.openxmlformats.org/officeDocument/2006/relationships/hyperlink" Target="http://bii.by/tx.dll?d=34258&amp;a=1465" TargetMode="External"/><Relationship Id="rId23" Type="http://schemas.openxmlformats.org/officeDocument/2006/relationships/hyperlink" Target="http://bii.by/tx.dll?d=34258&amp;a=1191" TargetMode="External"/><Relationship Id="rId28" Type="http://schemas.openxmlformats.org/officeDocument/2006/relationships/hyperlink" Target="http://bii.by/tx.dll?d=34258&amp;a=118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i.by/tx.dll?d=430138&amp;a=14" TargetMode="External"/><Relationship Id="rId19" Type="http://schemas.openxmlformats.org/officeDocument/2006/relationships/hyperlink" Target="http://bii.by/tx.dll?d=430138&amp;a=16" TargetMode="External"/><Relationship Id="rId31" Type="http://schemas.openxmlformats.org/officeDocument/2006/relationships/hyperlink" Target="http://bii.by/tx.dll?d=430138&amp;a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30138&amp;a=13" TargetMode="External"/><Relationship Id="rId14" Type="http://schemas.openxmlformats.org/officeDocument/2006/relationships/hyperlink" Target="http://bii.by/tx.dll?d=430138&amp;a=12" TargetMode="External"/><Relationship Id="rId22" Type="http://schemas.openxmlformats.org/officeDocument/2006/relationships/hyperlink" Target="http://bii.by/tx.dll?d=430138&amp;a=14" TargetMode="External"/><Relationship Id="rId27" Type="http://schemas.openxmlformats.org/officeDocument/2006/relationships/hyperlink" Target="http://bii.by/tx.dll?d=430138&amp;a=15" TargetMode="External"/><Relationship Id="rId30" Type="http://schemas.openxmlformats.org/officeDocument/2006/relationships/hyperlink" Target="http://bii.by/tx.dll?d=34258&amp;a=1693" TargetMode="External"/><Relationship Id="rId35" Type="http://schemas.openxmlformats.org/officeDocument/2006/relationships/hyperlink" Target="http://bii.by/tx.dll?d=230259&amp;a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</dc:creator>
  <cp:lastModifiedBy>gissz</cp:lastModifiedBy>
  <cp:revision>2</cp:revision>
  <dcterms:created xsi:type="dcterms:W3CDTF">2020-11-12T12:06:00Z</dcterms:created>
  <dcterms:modified xsi:type="dcterms:W3CDTF">2020-11-12T12:06:00Z</dcterms:modified>
</cp:coreProperties>
</file>